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0" w:type="auto"/>
        <w:tblLayout w:type="fixed"/>
        <w:tblCellMar>
          <w:left w:w="0" w:type="dxa"/>
          <w:right w:w="0" w:type="dxa"/>
        </w:tblCellMar>
        <w:tblLook w:val="0000" w:firstRow="0" w:lastRow="0" w:firstColumn="0" w:lastColumn="0" w:noHBand="0" w:noVBand="0"/>
      </w:tblPr>
      <w:tblGrid>
        <w:gridCol w:w="2834"/>
        <w:gridCol w:w="7541"/>
      </w:tblGrid>
      <w:tr w:rsidR="007A1CCC" w:rsidRPr="00071030" w14:paraId="5024761A" w14:textId="77777777">
        <w:trPr>
          <w:trHeight w:val="340"/>
        </w:trPr>
        <w:tc>
          <w:tcPr>
            <w:tcW w:w="2834" w:type="dxa"/>
            <w:shd w:val="clear" w:color="auto" w:fill="auto"/>
            <w:vAlign w:val="center"/>
          </w:tcPr>
          <w:p w14:paraId="289C5C5A" w14:textId="77777777" w:rsidR="007A1CCC" w:rsidRPr="00071030" w:rsidRDefault="007A1CCC">
            <w:pPr>
              <w:pStyle w:val="ECVPersonalInfoHeading"/>
            </w:pPr>
            <w:bookmarkStart w:id="0" w:name="_GoBack"/>
            <w:bookmarkEnd w:id="0"/>
            <w:r w:rsidRPr="00071030">
              <w:t>PERSONAL INFORMATION</w:t>
            </w:r>
          </w:p>
        </w:tc>
        <w:tc>
          <w:tcPr>
            <w:tcW w:w="7541" w:type="dxa"/>
            <w:shd w:val="clear" w:color="auto" w:fill="auto"/>
            <w:vAlign w:val="center"/>
          </w:tcPr>
          <w:p w14:paraId="118FAE75" w14:textId="4629F1D9" w:rsidR="007A1CCC" w:rsidRPr="00071030" w:rsidRDefault="00791EF7">
            <w:pPr>
              <w:pStyle w:val="ECVNameField"/>
            </w:pPr>
            <w:r w:rsidRPr="00071030">
              <w:t>Andrea Saltelli</w:t>
            </w:r>
            <w:r w:rsidR="00D86F5E">
              <w:t xml:space="preserve">, </w:t>
            </w:r>
            <w:r w:rsidR="00D86F5E" w:rsidRPr="00CC2888">
              <w:rPr>
                <w:color w:val="2F5496" w:themeColor="accent1" w:themeShade="BF"/>
              </w:rPr>
              <w:t>ORCID https://orcid.org/0000-0003-4222-6975</w:t>
            </w:r>
            <w:r w:rsidR="007A1CCC" w:rsidRPr="00CC2888">
              <w:rPr>
                <w:color w:val="2F5496" w:themeColor="accent1" w:themeShade="BF"/>
              </w:rPr>
              <w:t xml:space="preserve"> </w:t>
            </w:r>
          </w:p>
        </w:tc>
      </w:tr>
      <w:tr w:rsidR="007A1CCC" w:rsidRPr="00071030" w14:paraId="4CFE19EF" w14:textId="77777777">
        <w:trPr>
          <w:trHeight w:hRule="exact" w:val="227"/>
        </w:trPr>
        <w:tc>
          <w:tcPr>
            <w:tcW w:w="10375" w:type="dxa"/>
            <w:gridSpan w:val="2"/>
            <w:shd w:val="clear" w:color="auto" w:fill="auto"/>
          </w:tcPr>
          <w:p w14:paraId="21D394BF" w14:textId="77777777" w:rsidR="007A1CCC" w:rsidRPr="00071030" w:rsidRDefault="007A1CCC"/>
        </w:tc>
      </w:tr>
      <w:tr w:rsidR="007A1CCC" w:rsidRPr="00071030" w14:paraId="14602E3C" w14:textId="77777777">
        <w:trPr>
          <w:trHeight w:val="340"/>
        </w:trPr>
        <w:tc>
          <w:tcPr>
            <w:tcW w:w="2834" w:type="dxa"/>
            <w:vMerge w:val="restart"/>
            <w:shd w:val="clear" w:color="auto" w:fill="auto"/>
          </w:tcPr>
          <w:p w14:paraId="4B35C8A7" w14:textId="77777777" w:rsidR="007A1CCC" w:rsidRPr="00071030" w:rsidRDefault="007A1CCC">
            <w:pPr>
              <w:pStyle w:val="ECVLeftHeading"/>
            </w:pPr>
          </w:p>
        </w:tc>
        <w:tc>
          <w:tcPr>
            <w:tcW w:w="7541" w:type="dxa"/>
            <w:shd w:val="clear" w:color="auto" w:fill="auto"/>
          </w:tcPr>
          <w:p w14:paraId="695F9EE9" w14:textId="3752B14E" w:rsidR="007A1CCC" w:rsidRPr="00071030" w:rsidRDefault="006A30DD" w:rsidP="00E85652">
            <w:pPr>
              <w:pStyle w:val="ECVContactDetails0"/>
            </w:pPr>
            <w:r w:rsidRPr="00071030">
              <w:rPr>
                <w:noProof/>
              </w:rPr>
              <w:drawing>
                <wp:anchor distT="0" distB="0" distL="0" distR="71755" simplePos="0" relativeHeight="251657216" behindDoc="0" locked="0" layoutInCell="1" allowOverlap="1" wp14:anchorId="21FEBFCB" wp14:editId="45109853">
                  <wp:simplePos x="0" y="0"/>
                  <wp:positionH relativeFrom="column">
                    <wp:posOffset>0</wp:posOffset>
                  </wp:positionH>
                  <wp:positionV relativeFrom="paragraph">
                    <wp:posOffset>0</wp:posOffset>
                  </wp:positionV>
                  <wp:extent cx="123825" cy="143510"/>
                  <wp:effectExtent l="0" t="0" r="0" b="0"/>
                  <wp:wrapSquare wrapText="bothSides"/>
                  <wp:docPr id="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 cy="1435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91EF7" w:rsidRPr="00071030">
              <w:t xml:space="preserve">Carrer de Balmes 87, </w:t>
            </w:r>
            <w:r w:rsidR="00E85652">
              <w:t>Át</w:t>
            </w:r>
            <w:r w:rsidR="00791EF7" w:rsidRPr="00071030">
              <w:t>ico 1, 08008 Barcelona, SPAIN</w:t>
            </w:r>
          </w:p>
        </w:tc>
      </w:tr>
      <w:tr w:rsidR="007A1CCC" w:rsidRPr="00071030" w14:paraId="097DDCED" w14:textId="77777777">
        <w:trPr>
          <w:trHeight w:val="340"/>
        </w:trPr>
        <w:tc>
          <w:tcPr>
            <w:tcW w:w="2834" w:type="dxa"/>
            <w:vMerge/>
            <w:shd w:val="clear" w:color="auto" w:fill="auto"/>
          </w:tcPr>
          <w:p w14:paraId="48DA6241" w14:textId="77777777" w:rsidR="007A1CCC" w:rsidRPr="00071030" w:rsidRDefault="007A1CCC"/>
        </w:tc>
        <w:tc>
          <w:tcPr>
            <w:tcW w:w="7541" w:type="dxa"/>
            <w:shd w:val="clear" w:color="auto" w:fill="auto"/>
            <w:vAlign w:val="center"/>
          </w:tcPr>
          <w:tbl>
            <w:tblPr>
              <w:tblW w:w="0" w:type="auto"/>
              <w:tblLayout w:type="fixed"/>
              <w:tblCellMar>
                <w:left w:w="0" w:type="dxa"/>
                <w:right w:w="0" w:type="dxa"/>
              </w:tblCellMar>
              <w:tblLook w:val="0000" w:firstRow="0" w:lastRow="0" w:firstColumn="0" w:lastColumn="0" w:noHBand="0" w:noVBand="0"/>
            </w:tblPr>
            <w:tblGrid>
              <w:gridCol w:w="7541"/>
            </w:tblGrid>
            <w:tr w:rsidR="00791EF7" w:rsidRPr="00071030" w14:paraId="565A9A29" w14:textId="77777777" w:rsidTr="00B52026">
              <w:trPr>
                <w:cantSplit/>
                <w:trHeight w:val="340"/>
              </w:trPr>
              <w:tc>
                <w:tcPr>
                  <w:tcW w:w="7541" w:type="dxa"/>
                  <w:shd w:val="clear" w:color="auto" w:fill="auto"/>
                </w:tcPr>
                <w:p w14:paraId="7CF822C3" w14:textId="58020CEF" w:rsidR="00791EF7" w:rsidRPr="00071030" w:rsidRDefault="00791EF7" w:rsidP="00E85652">
                  <w:pPr>
                    <w:pStyle w:val="ECVContactDetails0"/>
                    <w:tabs>
                      <w:tab w:val="right" w:pos="8218"/>
                    </w:tabs>
                  </w:pPr>
                  <w:r w:rsidRPr="00071030">
                    <w:rPr>
                      <w:noProof/>
                    </w:rPr>
                    <w:drawing>
                      <wp:anchor distT="0" distB="0" distL="0" distR="71755" simplePos="0" relativeHeight="251660288" behindDoc="0" locked="0" layoutInCell="1" allowOverlap="1" wp14:anchorId="28B0903B" wp14:editId="1899E660">
                        <wp:simplePos x="0" y="0"/>
                        <wp:positionH relativeFrom="column">
                          <wp:posOffset>0</wp:posOffset>
                        </wp:positionH>
                        <wp:positionV relativeFrom="paragraph">
                          <wp:posOffset>0</wp:posOffset>
                        </wp:positionV>
                        <wp:extent cx="125730" cy="128905"/>
                        <wp:effectExtent l="0" t="0" r="7620" b="4445"/>
                        <wp:wrapSquare wrapText="bothSides"/>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 cy="12890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071030">
                    <w:t xml:space="preserve"> +34 </w:t>
                  </w:r>
                  <w:r w:rsidR="00E85652">
                    <w:t>930241525</w:t>
                  </w:r>
                  <w:r w:rsidRPr="00071030">
                    <w:t xml:space="preserve">    </w:t>
                  </w:r>
                  <w:r w:rsidRPr="00071030">
                    <w:rPr>
                      <w:noProof/>
                    </w:rPr>
                    <w:drawing>
                      <wp:inline distT="0" distB="0" distL="0" distR="0" wp14:anchorId="6327BA87" wp14:editId="062BBC17">
                        <wp:extent cx="127000" cy="135255"/>
                        <wp:effectExtent l="0" t="0" r="635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000" cy="135255"/>
                                </a:xfrm>
                                <a:prstGeom prst="rect">
                                  <a:avLst/>
                                </a:prstGeom>
                                <a:solidFill>
                                  <a:srgbClr val="FFFFFF"/>
                                </a:solidFill>
                                <a:ln>
                                  <a:noFill/>
                                </a:ln>
                              </pic:spPr>
                            </pic:pic>
                          </a:graphicData>
                        </a:graphic>
                      </wp:inline>
                    </w:drawing>
                  </w:r>
                  <w:r w:rsidRPr="00071030">
                    <w:t xml:space="preserve">+34 652401371        </w:t>
                  </w:r>
                </w:p>
              </w:tc>
            </w:tr>
            <w:tr w:rsidR="00791EF7" w:rsidRPr="00071030" w14:paraId="59DD2ADD" w14:textId="77777777" w:rsidTr="00B52026">
              <w:trPr>
                <w:cantSplit/>
                <w:trHeight w:val="340"/>
              </w:trPr>
              <w:tc>
                <w:tcPr>
                  <w:tcW w:w="7541" w:type="dxa"/>
                  <w:shd w:val="clear" w:color="auto" w:fill="auto"/>
                  <w:vAlign w:val="center"/>
                </w:tcPr>
                <w:p w14:paraId="6CD8F288" w14:textId="5580BCBD" w:rsidR="00791EF7" w:rsidRPr="00071030" w:rsidRDefault="00791EF7" w:rsidP="00B931E7">
                  <w:pPr>
                    <w:pStyle w:val="ECVContactDetails0"/>
                  </w:pPr>
                  <w:r w:rsidRPr="00071030">
                    <w:rPr>
                      <w:noProof/>
                    </w:rPr>
                    <w:drawing>
                      <wp:anchor distT="0" distB="0" distL="0" distR="71755" simplePos="0" relativeHeight="251661312" behindDoc="0" locked="0" layoutInCell="1" allowOverlap="1" wp14:anchorId="56DB792C" wp14:editId="3CC47D61">
                        <wp:simplePos x="0" y="0"/>
                        <wp:positionH relativeFrom="column">
                          <wp:posOffset>0</wp:posOffset>
                        </wp:positionH>
                        <wp:positionV relativeFrom="paragraph">
                          <wp:posOffset>0</wp:posOffset>
                        </wp:positionV>
                        <wp:extent cx="126365" cy="144145"/>
                        <wp:effectExtent l="0" t="0" r="6985" b="8255"/>
                        <wp:wrapSquare wrapText="bothSides"/>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365" cy="14414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071030">
                    <w:t xml:space="preserve"> </w:t>
                  </w:r>
                  <w:r w:rsidRPr="00071030">
                    <w:rPr>
                      <w:rStyle w:val="ECVInternetLink"/>
                    </w:rPr>
                    <w:t>andrea.saltelli@</w:t>
                  </w:r>
                  <w:r w:rsidR="00B931E7">
                    <w:rPr>
                      <w:rStyle w:val="ECVInternetLink"/>
                    </w:rPr>
                    <w:t>gmail.com</w:t>
                  </w:r>
                  <w:r w:rsidRPr="00071030">
                    <w:t xml:space="preserve"> </w:t>
                  </w:r>
                </w:p>
              </w:tc>
            </w:tr>
            <w:tr w:rsidR="00791EF7" w:rsidRPr="00071030" w14:paraId="576D80D1" w14:textId="77777777" w:rsidTr="00B52026">
              <w:trPr>
                <w:cantSplit/>
                <w:trHeight w:val="340"/>
              </w:trPr>
              <w:tc>
                <w:tcPr>
                  <w:tcW w:w="7541" w:type="dxa"/>
                  <w:shd w:val="clear" w:color="auto" w:fill="auto"/>
                </w:tcPr>
                <w:p w14:paraId="14C24A03" w14:textId="77777777" w:rsidR="00791EF7" w:rsidRPr="00071030" w:rsidRDefault="00791EF7" w:rsidP="00791EF7">
                  <w:pPr>
                    <w:pStyle w:val="ECVContactDetails0"/>
                    <w:spacing w:line="480" w:lineRule="auto"/>
                  </w:pPr>
                  <w:r w:rsidRPr="00071030">
                    <w:rPr>
                      <w:rStyle w:val="ECVInternetLink"/>
                    </w:rPr>
                    <w:t>www.andreasaltelli.eu</w:t>
                  </w:r>
                  <w:r w:rsidRPr="00071030">
                    <w:t xml:space="preserve"> </w:t>
                  </w:r>
                  <w:r w:rsidRPr="00071030">
                    <w:rPr>
                      <w:noProof/>
                    </w:rPr>
                    <w:drawing>
                      <wp:anchor distT="0" distB="0" distL="0" distR="71755" simplePos="0" relativeHeight="251662336" behindDoc="0" locked="0" layoutInCell="1" allowOverlap="1" wp14:anchorId="590AB765" wp14:editId="0B2A90A3">
                        <wp:simplePos x="0" y="0"/>
                        <wp:positionH relativeFrom="column">
                          <wp:posOffset>0</wp:posOffset>
                        </wp:positionH>
                        <wp:positionV relativeFrom="paragraph">
                          <wp:posOffset>0</wp:posOffset>
                        </wp:positionV>
                        <wp:extent cx="125095" cy="127635"/>
                        <wp:effectExtent l="0" t="0" r="8255" b="5715"/>
                        <wp:wrapSquare wrapText="bothSides"/>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095" cy="1276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071030">
                    <w:t xml:space="preserve"> </w:t>
                  </w:r>
                </w:p>
                <w:p w14:paraId="7C9E13E0" w14:textId="77777777" w:rsidR="00791EF7" w:rsidRPr="00071030" w:rsidRDefault="00791EF7" w:rsidP="00791EF7">
                  <w:pPr>
                    <w:pStyle w:val="ECVContactDetails0"/>
                  </w:pPr>
                  <w:r w:rsidRPr="00071030">
                    <w:rPr>
                      <w:rFonts w:ascii="Arial" w:eastAsia="SimSun" w:hAnsi="Arial" w:cs="Mangal"/>
                      <w:color w:val="1593CB"/>
                      <w:spacing w:val="-6"/>
                      <w:kern w:val="1"/>
                      <w:sz w:val="18"/>
                      <w:szCs w:val="18"/>
                      <w:lang w:eastAsia="zh-CN" w:bidi="hi-IN"/>
                    </w:rPr>
                    <w:t>Sex</w:t>
                  </w:r>
                  <w:r w:rsidRPr="00071030">
                    <w:rPr>
                      <w:rFonts w:ascii="Arial" w:eastAsia="SimSun" w:hAnsi="Arial" w:cs="Mangal"/>
                      <w:color w:val="3F3A38"/>
                      <w:spacing w:val="-6"/>
                      <w:kern w:val="1"/>
                      <w:sz w:val="16"/>
                      <w:szCs w:val="24"/>
                      <w:lang w:eastAsia="zh-CN" w:bidi="hi-IN"/>
                    </w:rPr>
                    <w:t xml:space="preserve"> </w:t>
                  </w:r>
                  <w:r w:rsidRPr="00071030">
                    <w:rPr>
                      <w:rFonts w:ascii="Arial" w:eastAsia="SimSun" w:hAnsi="Arial" w:cs="Mangal"/>
                      <w:color w:val="3F3A38"/>
                      <w:spacing w:val="-6"/>
                      <w:kern w:val="1"/>
                      <w:sz w:val="18"/>
                      <w:szCs w:val="18"/>
                      <w:lang w:eastAsia="zh-CN" w:bidi="hi-IN"/>
                    </w:rPr>
                    <w:t>M</w:t>
                  </w:r>
                  <w:r w:rsidRPr="00071030">
                    <w:rPr>
                      <w:rFonts w:ascii="Arial" w:eastAsia="SimSun" w:hAnsi="Arial" w:cs="Mangal"/>
                      <w:color w:val="3F3A38"/>
                      <w:spacing w:val="-6"/>
                      <w:kern w:val="1"/>
                      <w:sz w:val="16"/>
                      <w:szCs w:val="24"/>
                      <w:lang w:eastAsia="zh-CN" w:bidi="hi-IN"/>
                    </w:rPr>
                    <w:t xml:space="preserve"> </w:t>
                  </w:r>
                  <w:r w:rsidRPr="00071030">
                    <w:rPr>
                      <w:rFonts w:ascii="Arial" w:eastAsia="SimSun" w:hAnsi="Arial" w:cs="Mangal"/>
                      <w:color w:val="1593CB"/>
                      <w:spacing w:val="-6"/>
                      <w:kern w:val="1"/>
                      <w:sz w:val="18"/>
                      <w:szCs w:val="18"/>
                      <w:lang w:eastAsia="zh-CN" w:bidi="hi-IN"/>
                    </w:rPr>
                    <w:t>| Date of birth</w:t>
                  </w:r>
                  <w:r w:rsidRPr="00071030">
                    <w:rPr>
                      <w:rFonts w:ascii="Arial" w:eastAsia="SimSun" w:hAnsi="Arial" w:cs="Mangal"/>
                      <w:color w:val="3F3A38"/>
                      <w:spacing w:val="-6"/>
                      <w:kern w:val="1"/>
                      <w:sz w:val="16"/>
                      <w:szCs w:val="24"/>
                      <w:lang w:eastAsia="zh-CN" w:bidi="hi-IN"/>
                    </w:rPr>
                    <w:t xml:space="preserve"> </w:t>
                  </w:r>
                  <w:r w:rsidRPr="00071030">
                    <w:rPr>
                      <w:rFonts w:ascii="Arial" w:eastAsia="SimSun" w:hAnsi="Arial" w:cs="Mangal"/>
                      <w:color w:val="3F3A38"/>
                      <w:spacing w:val="-6"/>
                      <w:kern w:val="1"/>
                      <w:sz w:val="18"/>
                      <w:szCs w:val="18"/>
                      <w:lang w:eastAsia="zh-CN" w:bidi="hi-IN"/>
                    </w:rPr>
                    <w:t xml:space="preserve">26/08/1953 </w:t>
                  </w:r>
                  <w:r w:rsidRPr="00071030">
                    <w:rPr>
                      <w:rFonts w:ascii="Arial" w:eastAsia="SimSun" w:hAnsi="Arial" w:cs="Mangal"/>
                      <w:color w:val="1593CB"/>
                      <w:spacing w:val="-6"/>
                      <w:kern w:val="1"/>
                      <w:sz w:val="18"/>
                      <w:szCs w:val="18"/>
                      <w:lang w:eastAsia="zh-CN" w:bidi="hi-IN"/>
                    </w:rPr>
                    <w:t>| Nationality</w:t>
                  </w:r>
                  <w:r w:rsidRPr="00071030">
                    <w:rPr>
                      <w:rFonts w:ascii="Arial" w:eastAsia="SimSun" w:hAnsi="Arial" w:cs="Mangal"/>
                      <w:color w:val="3F3A38"/>
                      <w:spacing w:val="-6"/>
                      <w:kern w:val="1"/>
                      <w:sz w:val="16"/>
                      <w:szCs w:val="24"/>
                      <w:lang w:eastAsia="zh-CN" w:bidi="hi-IN"/>
                    </w:rPr>
                    <w:t xml:space="preserve"> </w:t>
                  </w:r>
                  <w:r w:rsidRPr="00071030">
                    <w:rPr>
                      <w:rFonts w:ascii="Arial" w:eastAsia="SimSun" w:hAnsi="Arial" w:cs="Mangal"/>
                      <w:color w:val="3F3A38"/>
                      <w:spacing w:val="-6"/>
                      <w:kern w:val="1"/>
                      <w:sz w:val="18"/>
                      <w:szCs w:val="18"/>
                      <w:lang w:eastAsia="zh-CN" w:bidi="hi-IN"/>
                    </w:rPr>
                    <w:t xml:space="preserve">Italian </w:t>
                  </w:r>
                  <w:r w:rsidRPr="00071030">
                    <w:rPr>
                      <w:rFonts w:ascii="Arial" w:eastAsia="SimSun" w:hAnsi="Arial" w:cs="Mangal"/>
                      <w:color w:val="3F3A38"/>
                      <w:spacing w:val="-6"/>
                      <w:kern w:val="1"/>
                      <w:sz w:val="16"/>
                      <w:szCs w:val="24"/>
                      <w:lang w:eastAsia="zh-CN" w:bidi="hi-IN"/>
                    </w:rPr>
                    <w:t xml:space="preserve"> </w:t>
                  </w:r>
                </w:p>
              </w:tc>
            </w:tr>
          </w:tbl>
          <w:p w14:paraId="1EF3C94A" w14:textId="77777777" w:rsidR="007A1CCC" w:rsidRPr="00071030" w:rsidRDefault="007A1CCC">
            <w:pPr>
              <w:pStyle w:val="ECVContactDetails0"/>
            </w:pPr>
          </w:p>
        </w:tc>
      </w:tr>
    </w:tbl>
    <w:p w14:paraId="3C9116B0" w14:textId="77777777" w:rsidR="007A1CCC" w:rsidRPr="00071030" w:rsidRDefault="007A1CCC">
      <w:pPr>
        <w:pStyle w:val="ECVText"/>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7A1CCC" w:rsidRPr="00071030" w14:paraId="67B0E298" w14:textId="77777777">
        <w:trPr>
          <w:trHeight w:val="170"/>
        </w:trPr>
        <w:tc>
          <w:tcPr>
            <w:tcW w:w="2835" w:type="dxa"/>
            <w:shd w:val="clear" w:color="auto" w:fill="auto"/>
          </w:tcPr>
          <w:p w14:paraId="25202652" w14:textId="77777777" w:rsidR="007A1CCC" w:rsidRPr="00071030" w:rsidRDefault="007A1CCC">
            <w:pPr>
              <w:pStyle w:val="ECVLeftHeading"/>
            </w:pPr>
            <w:r w:rsidRPr="00071030">
              <w:t>WORK EXPERIENCE</w:t>
            </w:r>
          </w:p>
        </w:tc>
        <w:tc>
          <w:tcPr>
            <w:tcW w:w="7540" w:type="dxa"/>
            <w:shd w:val="clear" w:color="auto" w:fill="auto"/>
            <w:vAlign w:val="bottom"/>
          </w:tcPr>
          <w:p w14:paraId="5D6ADD19" w14:textId="77777777" w:rsidR="007A1CCC" w:rsidRPr="00071030" w:rsidRDefault="006A30DD">
            <w:pPr>
              <w:pStyle w:val="ECVBlueBox"/>
            </w:pPr>
            <w:r w:rsidRPr="00071030">
              <w:rPr>
                <w:noProof/>
              </w:rPr>
              <w:drawing>
                <wp:inline distT="0" distB="0" distL="0" distR="0" wp14:anchorId="7AFB62C0" wp14:editId="19086008">
                  <wp:extent cx="4792345" cy="88265"/>
                  <wp:effectExtent l="0" t="0" r="0" b="0"/>
                  <wp:docPr id="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92345" cy="88265"/>
                          </a:xfrm>
                          <a:prstGeom prst="rect">
                            <a:avLst/>
                          </a:prstGeom>
                          <a:solidFill>
                            <a:srgbClr val="FFFFFF"/>
                          </a:solidFill>
                          <a:ln>
                            <a:noFill/>
                          </a:ln>
                        </pic:spPr>
                      </pic:pic>
                    </a:graphicData>
                  </a:graphic>
                </wp:inline>
              </w:drawing>
            </w:r>
            <w:r w:rsidR="007A1CCC" w:rsidRPr="00071030">
              <w:t xml:space="preserve"> </w:t>
            </w:r>
          </w:p>
        </w:tc>
      </w:tr>
    </w:tbl>
    <w:p w14:paraId="07F1CB3F" w14:textId="77777777" w:rsidR="007A1CCC" w:rsidRPr="00071030" w:rsidRDefault="007A1CCC">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7A1CCC" w:rsidRPr="00071030" w14:paraId="01CA46B2" w14:textId="77777777">
        <w:tc>
          <w:tcPr>
            <w:tcW w:w="2834" w:type="dxa"/>
            <w:vMerge w:val="restart"/>
            <w:shd w:val="clear" w:color="auto" w:fill="auto"/>
          </w:tcPr>
          <w:p w14:paraId="620EE42F" w14:textId="3B88E9E7" w:rsidR="007A1CCC" w:rsidRPr="00071030" w:rsidRDefault="00B931E7" w:rsidP="00B931E7">
            <w:pPr>
              <w:pStyle w:val="ECVDate"/>
            </w:pPr>
            <w:r>
              <w:t>2015 – June 2020</w:t>
            </w:r>
          </w:p>
        </w:tc>
        <w:tc>
          <w:tcPr>
            <w:tcW w:w="7541" w:type="dxa"/>
            <w:shd w:val="clear" w:color="auto" w:fill="auto"/>
          </w:tcPr>
          <w:p w14:paraId="7054D708" w14:textId="77777777" w:rsidR="007A1CCC" w:rsidRPr="00071030" w:rsidRDefault="00791EF7">
            <w:pPr>
              <w:pStyle w:val="ECVSubSectionHeading"/>
            </w:pPr>
            <w:r w:rsidRPr="00071030">
              <w:t>Adjunct Professor</w:t>
            </w:r>
          </w:p>
        </w:tc>
      </w:tr>
      <w:tr w:rsidR="007A1CCC" w:rsidRPr="00071030" w14:paraId="56B7B513" w14:textId="77777777">
        <w:tc>
          <w:tcPr>
            <w:tcW w:w="2834" w:type="dxa"/>
            <w:vMerge/>
            <w:shd w:val="clear" w:color="auto" w:fill="auto"/>
          </w:tcPr>
          <w:p w14:paraId="4806C6A6" w14:textId="77777777" w:rsidR="007A1CCC" w:rsidRPr="00071030" w:rsidRDefault="007A1CCC"/>
        </w:tc>
        <w:tc>
          <w:tcPr>
            <w:tcW w:w="7541" w:type="dxa"/>
            <w:shd w:val="clear" w:color="auto" w:fill="auto"/>
          </w:tcPr>
          <w:p w14:paraId="46FF99AF" w14:textId="77777777" w:rsidR="007A1CCC" w:rsidRPr="00071030" w:rsidRDefault="00791EF7">
            <w:pPr>
              <w:pStyle w:val="ECVOrganisationDetails"/>
            </w:pPr>
            <w:r w:rsidRPr="00071030">
              <w:t>Centre for the Sciences and the Hum</w:t>
            </w:r>
            <w:r w:rsidR="00071030" w:rsidRPr="00071030">
              <w:t>anities, University of Bergen,</w:t>
            </w:r>
            <w:r w:rsidRPr="00071030">
              <w:t xml:space="preserve"> Norway</w:t>
            </w:r>
          </w:p>
        </w:tc>
      </w:tr>
    </w:tbl>
    <w:p w14:paraId="60AA8652" w14:textId="77777777" w:rsidR="007A1CCC" w:rsidRPr="00071030" w:rsidRDefault="007A1CCC">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7A1CCC" w:rsidRPr="00071030" w14:paraId="6375A098" w14:textId="77777777">
        <w:tc>
          <w:tcPr>
            <w:tcW w:w="2834" w:type="dxa"/>
            <w:vMerge w:val="restart"/>
            <w:shd w:val="clear" w:color="auto" w:fill="auto"/>
          </w:tcPr>
          <w:p w14:paraId="08EFF1A0" w14:textId="77777777" w:rsidR="007A1CCC" w:rsidRPr="00071030" w:rsidRDefault="00071030">
            <w:pPr>
              <w:pStyle w:val="ECVDate"/>
            </w:pPr>
            <w:r w:rsidRPr="00071030">
              <w:t xml:space="preserve">2017 </w:t>
            </w:r>
            <w:r w:rsidR="00791EF7" w:rsidRPr="00071030">
              <w:t>– Present</w:t>
            </w:r>
          </w:p>
        </w:tc>
        <w:tc>
          <w:tcPr>
            <w:tcW w:w="7541" w:type="dxa"/>
            <w:shd w:val="clear" w:color="auto" w:fill="auto"/>
          </w:tcPr>
          <w:p w14:paraId="781547EF" w14:textId="6BB363BC" w:rsidR="007A1CCC" w:rsidRPr="00071030" w:rsidRDefault="00071030">
            <w:pPr>
              <w:pStyle w:val="ECVSubSectionHeading"/>
            </w:pPr>
            <w:r w:rsidRPr="00071030">
              <w:t>Guest researcher</w:t>
            </w:r>
            <w:r w:rsidR="00B32F94">
              <w:t xml:space="preserve"> (part time 1.5 h/day)</w:t>
            </w:r>
          </w:p>
        </w:tc>
      </w:tr>
      <w:tr w:rsidR="007A1CCC" w:rsidRPr="00071030" w14:paraId="6052DC1B" w14:textId="77777777">
        <w:tc>
          <w:tcPr>
            <w:tcW w:w="2834" w:type="dxa"/>
            <w:vMerge/>
            <w:shd w:val="clear" w:color="auto" w:fill="auto"/>
          </w:tcPr>
          <w:p w14:paraId="329EE254" w14:textId="77777777" w:rsidR="007A1CCC" w:rsidRPr="00071030" w:rsidRDefault="007A1CCC"/>
        </w:tc>
        <w:tc>
          <w:tcPr>
            <w:tcW w:w="7541" w:type="dxa"/>
            <w:shd w:val="clear" w:color="auto" w:fill="auto"/>
          </w:tcPr>
          <w:p w14:paraId="145D74B4" w14:textId="77777777" w:rsidR="007A1CCC" w:rsidRPr="00071030" w:rsidRDefault="007A1CCC">
            <w:pPr>
              <w:pStyle w:val="ECVOrganisationDetails"/>
            </w:pPr>
            <w:r w:rsidRPr="00071030">
              <w:t xml:space="preserve">Open Evidence SL, Barcelona (Spain) </w:t>
            </w:r>
          </w:p>
        </w:tc>
      </w:tr>
      <w:tr w:rsidR="007A1CCC" w:rsidRPr="00071030" w14:paraId="68A9BE59" w14:textId="77777777">
        <w:tc>
          <w:tcPr>
            <w:tcW w:w="2834" w:type="dxa"/>
            <w:vMerge/>
            <w:shd w:val="clear" w:color="auto" w:fill="auto"/>
          </w:tcPr>
          <w:p w14:paraId="65D2D2EB" w14:textId="77777777" w:rsidR="007A1CCC" w:rsidRPr="00071030" w:rsidRDefault="007A1CCC"/>
        </w:tc>
        <w:tc>
          <w:tcPr>
            <w:tcW w:w="7541" w:type="dxa"/>
            <w:shd w:val="clear" w:color="auto" w:fill="auto"/>
          </w:tcPr>
          <w:p w14:paraId="63F27CC7" w14:textId="77777777" w:rsidR="007A1CCC" w:rsidRPr="00071030" w:rsidRDefault="007A1CCC">
            <w:pPr>
              <w:pStyle w:val="EuropassSectionDetails"/>
            </w:pPr>
            <w:r w:rsidRPr="00071030">
              <w:t>UOC university spin-off research company ​</w:t>
            </w:r>
          </w:p>
        </w:tc>
      </w:tr>
    </w:tbl>
    <w:p w14:paraId="2A245C55" w14:textId="77777777" w:rsidR="007A1CCC" w:rsidRPr="00071030" w:rsidRDefault="007A1CCC">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7A1CCC" w:rsidRPr="00071030" w14:paraId="58161424" w14:textId="77777777">
        <w:tc>
          <w:tcPr>
            <w:tcW w:w="2834" w:type="dxa"/>
            <w:vMerge w:val="restart"/>
            <w:shd w:val="clear" w:color="auto" w:fill="auto"/>
          </w:tcPr>
          <w:p w14:paraId="4FF7038B" w14:textId="77777777" w:rsidR="007A1CCC" w:rsidRPr="00071030" w:rsidRDefault="00071030">
            <w:pPr>
              <w:pStyle w:val="ECVDate"/>
            </w:pPr>
            <w:r w:rsidRPr="00071030">
              <w:t>1982–2015</w:t>
            </w:r>
          </w:p>
        </w:tc>
        <w:tc>
          <w:tcPr>
            <w:tcW w:w="7541" w:type="dxa"/>
            <w:shd w:val="clear" w:color="auto" w:fill="auto"/>
          </w:tcPr>
          <w:p w14:paraId="524FBD18" w14:textId="77777777" w:rsidR="007A1CCC" w:rsidRPr="00071030" w:rsidRDefault="00071030">
            <w:pPr>
              <w:pStyle w:val="ECVSubSectionHeading"/>
            </w:pPr>
            <w:r w:rsidRPr="00071030">
              <w:t>Researcher, then Head of Unit (Econometrics and Applied Statistics)</w:t>
            </w:r>
          </w:p>
        </w:tc>
      </w:tr>
      <w:tr w:rsidR="007A1CCC" w:rsidRPr="00071030" w14:paraId="787D7951" w14:textId="77777777">
        <w:tc>
          <w:tcPr>
            <w:tcW w:w="2834" w:type="dxa"/>
            <w:vMerge/>
            <w:shd w:val="clear" w:color="auto" w:fill="auto"/>
          </w:tcPr>
          <w:p w14:paraId="620F7B6C" w14:textId="77777777" w:rsidR="007A1CCC" w:rsidRPr="00071030" w:rsidRDefault="007A1CCC"/>
        </w:tc>
        <w:tc>
          <w:tcPr>
            <w:tcW w:w="7541" w:type="dxa"/>
            <w:shd w:val="clear" w:color="auto" w:fill="auto"/>
          </w:tcPr>
          <w:p w14:paraId="06FECFFB" w14:textId="77777777" w:rsidR="007A1CCC" w:rsidRPr="00071030" w:rsidRDefault="00071030" w:rsidP="00071030">
            <w:pPr>
              <w:pStyle w:val="ECVOrganisationDetails"/>
            </w:pPr>
            <w:r>
              <w:t>European Commission Joint Research Centre, Ispra, Italy</w:t>
            </w:r>
          </w:p>
        </w:tc>
      </w:tr>
    </w:tbl>
    <w:p w14:paraId="00A40DEB" w14:textId="77777777" w:rsidR="007A1CCC" w:rsidRPr="00071030" w:rsidRDefault="007A1CCC">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7A1CCC" w:rsidRPr="00071030" w14:paraId="0DB1BD41" w14:textId="77777777">
        <w:tc>
          <w:tcPr>
            <w:tcW w:w="2834" w:type="dxa"/>
            <w:vMerge w:val="restart"/>
            <w:shd w:val="clear" w:color="auto" w:fill="auto"/>
          </w:tcPr>
          <w:p w14:paraId="30B69CA8" w14:textId="77777777" w:rsidR="007A1CCC" w:rsidRPr="00071030" w:rsidRDefault="00071030">
            <w:pPr>
              <w:pStyle w:val="ECVDate"/>
            </w:pPr>
            <w:r>
              <w:t>1980</w:t>
            </w:r>
            <w:r w:rsidR="007A1CCC" w:rsidRPr="00071030">
              <w:t>–</w:t>
            </w:r>
            <w:r>
              <w:t>1981</w:t>
            </w:r>
          </w:p>
        </w:tc>
        <w:tc>
          <w:tcPr>
            <w:tcW w:w="7541" w:type="dxa"/>
            <w:shd w:val="clear" w:color="auto" w:fill="auto"/>
          </w:tcPr>
          <w:p w14:paraId="68A499EB" w14:textId="77777777" w:rsidR="007A1CCC" w:rsidRPr="00071030" w:rsidRDefault="00071030">
            <w:pPr>
              <w:pStyle w:val="ECVSubSectionHeading"/>
            </w:pPr>
            <w:r w:rsidRPr="00071030">
              <w:t xml:space="preserve">Fellow </w:t>
            </w:r>
          </w:p>
        </w:tc>
      </w:tr>
      <w:tr w:rsidR="007A1CCC" w:rsidRPr="00071030" w14:paraId="584F3606" w14:textId="77777777">
        <w:tc>
          <w:tcPr>
            <w:tcW w:w="2834" w:type="dxa"/>
            <w:vMerge/>
            <w:shd w:val="clear" w:color="auto" w:fill="auto"/>
          </w:tcPr>
          <w:p w14:paraId="76B61F8E" w14:textId="77777777" w:rsidR="007A1CCC" w:rsidRPr="00071030" w:rsidRDefault="007A1CCC"/>
        </w:tc>
        <w:tc>
          <w:tcPr>
            <w:tcW w:w="7541" w:type="dxa"/>
            <w:shd w:val="clear" w:color="auto" w:fill="auto"/>
          </w:tcPr>
          <w:p w14:paraId="43E58C96" w14:textId="77777777" w:rsidR="007A1CCC" w:rsidRPr="00071030" w:rsidRDefault="00071030">
            <w:pPr>
              <w:pStyle w:val="ECVOrganisationDetails"/>
            </w:pPr>
            <w:r w:rsidRPr="00071030">
              <w:t>Argonne National Laboratory (Illinois, USA)</w:t>
            </w:r>
          </w:p>
        </w:tc>
      </w:tr>
    </w:tbl>
    <w:p w14:paraId="71D874B8" w14:textId="77777777" w:rsidR="007A1CCC" w:rsidRPr="00071030" w:rsidRDefault="007A1CCC">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7A1CCC" w:rsidRPr="00071030" w14:paraId="3A4FC702" w14:textId="77777777">
        <w:tc>
          <w:tcPr>
            <w:tcW w:w="2834" w:type="dxa"/>
            <w:vMerge w:val="restart"/>
            <w:shd w:val="clear" w:color="auto" w:fill="auto"/>
          </w:tcPr>
          <w:p w14:paraId="1802B04E" w14:textId="77777777" w:rsidR="007A1CCC" w:rsidRPr="00071030" w:rsidRDefault="00A34F47">
            <w:pPr>
              <w:pStyle w:val="ECVDate"/>
            </w:pPr>
            <w:r>
              <w:t>1977-1979</w:t>
            </w:r>
          </w:p>
        </w:tc>
        <w:tc>
          <w:tcPr>
            <w:tcW w:w="7541" w:type="dxa"/>
            <w:shd w:val="clear" w:color="auto" w:fill="auto"/>
          </w:tcPr>
          <w:p w14:paraId="3A3264BF" w14:textId="77777777" w:rsidR="007A1CCC" w:rsidRPr="00071030" w:rsidRDefault="00A34F47">
            <w:pPr>
              <w:pStyle w:val="ECVSubSectionHeading"/>
            </w:pPr>
            <w:r>
              <w:t>Fellow</w:t>
            </w:r>
          </w:p>
        </w:tc>
      </w:tr>
      <w:tr w:rsidR="007A1CCC" w:rsidRPr="00071030" w14:paraId="1F218CE8" w14:textId="77777777">
        <w:tc>
          <w:tcPr>
            <w:tcW w:w="2834" w:type="dxa"/>
            <w:vMerge/>
            <w:shd w:val="clear" w:color="auto" w:fill="auto"/>
          </w:tcPr>
          <w:p w14:paraId="2192667A" w14:textId="77777777" w:rsidR="007A1CCC" w:rsidRPr="00071030" w:rsidRDefault="007A1CCC"/>
        </w:tc>
        <w:tc>
          <w:tcPr>
            <w:tcW w:w="7541" w:type="dxa"/>
            <w:shd w:val="clear" w:color="auto" w:fill="auto"/>
          </w:tcPr>
          <w:p w14:paraId="08722C7E" w14:textId="77777777" w:rsidR="007A1CCC" w:rsidRPr="00071030" w:rsidRDefault="00A34F47">
            <w:pPr>
              <w:pStyle w:val="ECVOrganisationDetails"/>
            </w:pPr>
            <w:r w:rsidRPr="00A34F47">
              <w:t>Italian Nuclear Authority, Rome</w:t>
            </w:r>
          </w:p>
        </w:tc>
      </w:tr>
    </w:tbl>
    <w:p w14:paraId="65275D6C" w14:textId="77777777" w:rsidR="007A1CCC" w:rsidRPr="00071030" w:rsidRDefault="007A1CCC">
      <w:pPr>
        <w:pStyle w:val="ECVText"/>
      </w:pPr>
    </w:p>
    <w:tbl>
      <w:tblPr>
        <w:tblW w:w="0" w:type="auto"/>
        <w:jc w:val="right"/>
        <w:tblLayout w:type="fixed"/>
        <w:tblCellMar>
          <w:left w:w="0" w:type="dxa"/>
          <w:right w:w="0" w:type="dxa"/>
        </w:tblCellMar>
        <w:tblLook w:val="0000" w:firstRow="0" w:lastRow="0" w:firstColumn="0" w:lastColumn="0" w:noHBand="0" w:noVBand="0"/>
      </w:tblPr>
      <w:tblGrid>
        <w:gridCol w:w="2835"/>
        <w:gridCol w:w="7540"/>
      </w:tblGrid>
      <w:tr w:rsidR="007A1CCC" w:rsidRPr="00071030" w14:paraId="53BBD88C" w14:textId="77777777">
        <w:trPr>
          <w:trHeight w:val="170"/>
          <w:jc w:val="right"/>
        </w:trPr>
        <w:tc>
          <w:tcPr>
            <w:tcW w:w="2835" w:type="dxa"/>
            <w:shd w:val="clear" w:color="auto" w:fill="auto"/>
          </w:tcPr>
          <w:p w14:paraId="3237DA77" w14:textId="77777777" w:rsidR="007A1CCC" w:rsidRPr="00071030" w:rsidRDefault="007A1CCC">
            <w:pPr>
              <w:pStyle w:val="ECVLeftHeading"/>
            </w:pPr>
            <w:r w:rsidRPr="00071030">
              <w:t>EDUCATION AND TRAINING</w:t>
            </w:r>
          </w:p>
        </w:tc>
        <w:tc>
          <w:tcPr>
            <w:tcW w:w="7540" w:type="dxa"/>
            <w:shd w:val="clear" w:color="auto" w:fill="auto"/>
            <w:vAlign w:val="bottom"/>
          </w:tcPr>
          <w:p w14:paraId="23C4E617" w14:textId="77777777" w:rsidR="007A1CCC" w:rsidRPr="00071030" w:rsidRDefault="006A30DD">
            <w:pPr>
              <w:pStyle w:val="ECVBlueBox"/>
            </w:pPr>
            <w:r w:rsidRPr="00071030">
              <w:rPr>
                <w:noProof/>
              </w:rPr>
              <w:drawing>
                <wp:inline distT="0" distB="0" distL="0" distR="0" wp14:anchorId="7158C52E" wp14:editId="75917157">
                  <wp:extent cx="4792345" cy="88265"/>
                  <wp:effectExtent l="0" t="0" r="0" b="0"/>
                  <wp:docPr id="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92345" cy="88265"/>
                          </a:xfrm>
                          <a:prstGeom prst="rect">
                            <a:avLst/>
                          </a:prstGeom>
                          <a:solidFill>
                            <a:srgbClr val="FFFFFF"/>
                          </a:solidFill>
                          <a:ln>
                            <a:noFill/>
                          </a:ln>
                        </pic:spPr>
                      </pic:pic>
                    </a:graphicData>
                  </a:graphic>
                </wp:inline>
              </w:drawing>
            </w:r>
            <w:r w:rsidR="007A1CCC" w:rsidRPr="00071030">
              <w:t xml:space="preserve"> </w:t>
            </w:r>
          </w:p>
        </w:tc>
      </w:tr>
    </w:tbl>
    <w:p w14:paraId="686F44AE" w14:textId="77777777" w:rsidR="007A1CCC" w:rsidRPr="00071030" w:rsidRDefault="007A1CCC">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7A1CCC" w:rsidRPr="00071030" w14:paraId="1DB3ED5B" w14:textId="77777777">
        <w:tc>
          <w:tcPr>
            <w:tcW w:w="2834" w:type="dxa"/>
            <w:vMerge w:val="restart"/>
            <w:shd w:val="clear" w:color="auto" w:fill="auto"/>
          </w:tcPr>
          <w:p w14:paraId="0FAAAE8A" w14:textId="77777777" w:rsidR="007A1CCC" w:rsidRPr="00071030" w:rsidRDefault="007D08BC">
            <w:pPr>
              <w:pStyle w:val="ECVDate"/>
            </w:pPr>
            <w:r w:rsidRPr="001C4B38">
              <w:t>1976–1979</w:t>
            </w:r>
          </w:p>
        </w:tc>
        <w:tc>
          <w:tcPr>
            <w:tcW w:w="6237" w:type="dxa"/>
            <w:shd w:val="clear" w:color="auto" w:fill="auto"/>
          </w:tcPr>
          <w:p w14:paraId="21F6AA1E" w14:textId="77777777" w:rsidR="007A1CCC" w:rsidRPr="00071030" w:rsidRDefault="007D08BC">
            <w:pPr>
              <w:pStyle w:val="ECVSubSectionHeading"/>
            </w:pPr>
            <w:r w:rsidRPr="007D08BC">
              <w:t xml:space="preserve">Master Studies in Physics </w:t>
            </w:r>
          </w:p>
        </w:tc>
        <w:tc>
          <w:tcPr>
            <w:tcW w:w="1305" w:type="dxa"/>
            <w:shd w:val="clear" w:color="auto" w:fill="auto"/>
          </w:tcPr>
          <w:p w14:paraId="0EE90D67" w14:textId="77777777" w:rsidR="007A1CCC" w:rsidRPr="00071030" w:rsidRDefault="007A1CCC">
            <w:pPr>
              <w:pStyle w:val="ECVRightHeading"/>
            </w:pPr>
          </w:p>
        </w:tc>
      </w:tr>
      <w:tr w:rsidR="007A1CCC" w:rsidRPr="007D08BC" w14:paraId="68AF6E51" w14:textId="77777777">
        <w:tc>
          <w:tcPr>
            <w:tcW w:w="2834" w:type="dxa"/>
            <w:vMerge/>
            <w:shd w:val="clear" w:color="auto" w:fill="auto"/>
          </w:tcPr>
          <w:p w14:paraId="1AA573BC" w14:textId="77777777" w:rsidR="007A1CCC" w:rsidRPr="00071030" w:rsidRDefault="007A1CCC"/>
        </w:tc>
        <w:tc>
          <w:tcPr>
            <w:tcW w:w="7542" w:type="dxa"/>
            <w:gridSpan w:val="2"/>
            <w:shd w:val="clear" w:color="auto" w:fill="auto"/>
          </w:tcPr>
          <w:p w14:paraId="5855A533" w14:textId="77777777" w:rsidR="007A1CCC" w:rsidRPr="007D08BC" w:rsidRDefault="007D08BC">
            <w:pPr>
              <w:pStyle w:val="ECVOrganisationDetails"/>
            </w:pPr>
            <w:r w:rsidRPr="007D08BC">
              <w:t>Roma La Sapienza University, Italy</w:t>
            </w:r>
          </w:p>
        </w:tc>
      </w:tr>
    </w:tbl>
    <w:p w14:paraId="2D27FCA2" w14:textId="77777777" w:rsidR="007A1CCC" w:rsidRPr="007D08BC" w:rsidRDefault="007A1CCC">
      <w:pPr>
        <w:pStyle w:val="ECVText"/>
        <w:rPr>
          <w:lang w:val="es-ES"/>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7A1CCC" w:rsidRPr="00071030" w14:paraId="37E12E28" w14:textId="77777777">
        <w:tc>
          <w:tcPr>
            <w:tcW w:w="2834" w:type="dxa"/>
            <w:shd w:val="clear" w:color="auto" w:fill="auto"/>
          </w:tcPr>
          <w:p w14:paraId="72139935" w14:textId="77777777" w:rsidR="007A1CCC" w:rsidRPr="00071030" w:rsidRDefault="007D08BC">
            <w:pPr>
              <w:pStyle w:val="ECVDate"/>
            </w:pPr>
            <w:r w:rsidRPr="007D08BC">
              <w:t>1976</w:t>
            </w:r>
          </w:p>
        </w:tc>
        <w:tc>
          <w:tcPr>
            <w:tcW w:w="6237" w:type="dxa"/>
            <w:shd w:val="clear" w:color="auto" w:fill="auto"/>
          </w:tcPr>
          <w:p w14:paraId="74E97598" w14:textId="00EB22AB" w:rsidR="007A1CCC" w:rsidRPr="00071030" w:rsidRDefault="00CA3346" w:rsidP="0010435B">
            <w:pPr>
              <w:pStyle w:val="ECVSubSectionHeading"/>
            </w:pPr>
            <w:r>
              <w:t xml:space="preserve">Italian </w:t>
            </w:r>
            <w:r w:rsidR="007D08BC" w:rsidRPr="007D08BC">
              <w:t>Doctor Degree in Inorganic Chemistry (first of his course)</w:t>
            </w:r>
            <w:r w:rsidR="00E04E8B">
              <w:t xml:space="preserve">, </w:t>
            </w:r>
            <w:r w:rsidR="00E04E8B" w:rsidRPr="007D08BC">
              <w:t xml:space="preserve"> Roma La Sapienza University, Italy</w:t>
            </w:r>
            <w:r w:rsidR="0010435B">
              <w:t>, fist of his course</w:t>
            </w:r>
          </w:p>
        </w:tc>
        <w:tc>
          <w:tcPr>
            <w:tcW w:w="1305" w:type="dxa"/>
            <w:shd w:val="clear" w:color="auto" w:fill="auto"/>
          </w:tcPr>
          <w:p w14:paraId="3B51456D" w14:textId="77777777" w:rsidR="007A1CCC" w:rsidRPr="00071030" w:rsidRDefault="007A1CCC">
            <w:pPr>
              <w:pStyle w:val="ECVRightHeading"/>
            </w:pPr>
          </w:p>
        </w:tc>
      </w:tr>
    </w:tbl>
    <w:p w14:paraId="54B479EA" w14:textId="77777777" w:rsidR="007A1CCC" w:rsidRPr="00071030" w:rsidRDefault="007A1CCC">
      <w:pPr>
        <w:pStyle w:val="ECVText"/>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7A1CCC" w:rsidRPr="00071030" w14:paraId="54D9B419" w14:textId="77777777">
        <w:trPr>
          <w:trHeight w:val="170"/>
        </w:trPr>
        <w:tc>
          <w:tcPr>
            <w:tcW w:w="2835" w:type="dxa"/>
            <w:shd w:val="clear" w:color="auto" w:fill="auto"/>
          </w:tcPr>
          <w:p w14:paraId="2AB5E77E" w14:textId="77777777" w:rsidR="007A1CCC" w:rsidRPr="00071030" w:rsidRDefault="007A1CCC">
            <w:pPr>
              <w:pStyle w:val="ECVLeftHeading"/>
            </w:pPr>
            <w:r w:rsidRPr="00071030">
              <w:t>PERSONAL SKILLS</w:t>
            </w:r>
          </w:p>
        </w:tc>
        <w:tc>
          <w:tcPr>
            <w:tcW w:w="7540" w:type="dxa"/>
            <w:shd w:val="clear" w:color="auto" w:fill="auto"/>
            <w:vAlign w:val="bottom"/>
          </w:tcPr>
          <w:p w14:paraId="1F7E8C51" w14:textId="77777777" w:rsidR="007A1CCC" w:rsidRPr="00071030" w:rsidRDefault="006A30DD">
            <w:pPr>
              <w:pStyle w:val="ECVBlueBox"/>
            </w:pPr>
            <w:r w:rsidRPr="00071030">
              <w:rPr>
                <w:noProof/>
              </w:rPr>
              <w:drawing>
                <wp:inline distT="0" distB="0" distL="0" distR="0" wp14:anchorId="67B60BB7" wp14:editId="4DEC6816">
                  <wp:extent cx="4792345" cy="88265"/>
                  <wp:effectExtent l="0" t="0" r="0" b="0"/>
                  <wp:docPr id="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92345" cy="88265"/>
                          </a:xfrm>
                          <a:prstGeom prst="rect">
                            <a:avLst/>
                          </a:prstGeom>
                          <a:solidFill>
                            <a:srgbClr val="FFFFFF"/>
                          </a:solidFill>
                          <a:ln>
                            <a:noFill/>
                          </a:ln>
                        </pic:spPr>
                      </pic:pic>
                    </a:graphicData>
                  </a:graphic>
                </wp:inline>
              </w:drawing>
            </w:r>
            <w:r w:rsidR="007A1CCC" w:rsidRPr="00071030">
              <w:t xml:space="preserve"> </w:t>
            </w:r>
          </w:p>
        </w:tc>
      </w:tr>
    </w:tbl>
    <w:p w14:paraId="3EDF1785" w14:textId="77777777" w:rsidR="007A1CCC" w:rsidRPr="00071030" w:rsidRDefault="007A1CCC">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1544"/>
        <w:gridCol w:w="1498"/>
        <w:gridCol w:w="1499"/>
        <w:gridCol w:w="1500"/>
        <w:gridCol w:w="1501"/>
      </w:tblGrid>
      <w:tr w:rsidR="007A1CCC" w:rsidRPr="00071030" w14:paraId="5F77C431" w14:textId="77777777">
        <w:trPr>
          <w:trHeight w:val="255"/>
        </w:trPr>
        <w:tc>
          <w:tcPr>
            <w:tcW w:w="2834" w:type="dxa"/>
            <w:shd w:val="clear" w:color="auto" w:fill="auto"/>
          </w:tcPr>
          <w:p w14:paraId="0F962D80" w14:textId="77777777" w:rsidR="007A1CCC" w:rsidRPr="00071030" w:rsidRDefault="007A1CCC">
            <w:pPr>
              <w:pStyle w:val="ECVLeftDetails"/>
            </w:pPr>
            <w:r w:rsidRPr="00071030">
              <w:t>Mother tongue(s)</w:t>
            </w:r>
          </w:p>
        </w:tc>
        <w:tc>
          <w:tcPr>
            <w:tcW w:w="7542" w:type="dxa"/>
            <w:gridSpan w:val="5"/>
            <w:shd w:val="clear" w:color="auto" w:fill="auto"/>
          </w:tcPr>
          <w:p w14:paraId="0F5C355C" w14:textId="77777777" w:rsidR="007A1CCC" w:rsidRPr="00071030" w:rsidRDefault="007A1CCC">
            <w:pPr>
              <w:pStyle w:val="EuropassSectionDetails"/>
            </w:pPr>
            <w:r w:rsidRPr="00071030">
              <w:t>Italian</w:t>
            </w:r>
          </w:p>
        </w:tc>
      </w:tr>
      <w:tr w:rsidR="007A1CCC" w:rsidRPr="00071030" w14:paraId="217BF220" w14:textId="77777777">
        <w:trPr>
          <w:trHeight w:val="340"/>
        </w:trPr>
        <w:tc>
          <w:tcPr>
            <w:tcW w:w="2834" w:type="dxa"/>
            <w:shd w:val="clear" w:color="auto" w:fill="auto"/>
          </w:tcPr>
          <w:p w14:paraId="10AE675E" w14:textId="77777777" w:rsidR="007A1CCC" w:rsidRPr="00071030" w:rsidRDefault="007A1CCC">
            <w:pPr>
              <w:pStyle w:val="ECVLeftHeading"/>
            </w:pPr>
          </w:p>
        </w:tc>
        <w:tc>
          <w:tcPr>
            <w:tcW w:w="7542" w:type="dxa"/>
            <w:gridSpan w:val="5"/>
            <w:shd w:val="clear" w:color="auto" w:fill="auto"/>
          </w:tcPr>
          <w:p w14:paraId="0DC03347" w14:textId="77777777" w:rsidR="007A1CCC" w:rsidRPr="00071030" w:rsidRDefault="007A1CCC">
            <w:pPr>
              <w:pStyle w:val="ECVRightColumn"/>
            </w:pPr>
          </w:p>
        </w:tc>
      </w:tr>
      <w:tr w:rsidR="007A1CCC" w:rsidRPr="00071030" w14:paraId="5E04A917" w14:textId="77777777">
        <w:trPr>
          <w:trHeight w:val="340"/>
        </w:trPr>
        <w:tc>
          <w:tcPr>
            <w:tcW w:w="2834" w:type="dxa"/>
            <w:vMerge w:val="restart"/>
            <w:shd w:val="clear" w:color="auto" w:fill="auto"/>
          </w:tcPr>
          <w:p w14:paraId="2B048C78" w14:textId="77777777" w:rsidR="007A1CCC" w:rsidRPr="00071030" w:rsidRDefault="007A1CCC">
            <w:pPr>
              <w:pStyle w:val="ECVLeftDetails"/>
            </w:pPr>
            <w:r w:rsidRPr="00071030">
              <w:t>Other language(s)</w:t>
            </w:r>
          </w:p>
        </w:tc>
        <w:tc>
          <w:tcPr>
            <w:tcW w:w="3042" w:type="dxa"/>
            <w:gridSpan w:val="2"/>
            <w:tcBorders>
              <w:top w:val="single" w:sz="8" w:space="0" w:color="C0C0C0"/>
              <w:bottom w:val="single" w:sz="8" w:space="0" w:color="C0C0C0"/>
            </w:tcBorders>
            <w:shd w:val="clear" w:color="auto" w:fill="auto"/>
            <w:vAlign w:val="center"/>
          </w:tcPr>
          <w:p w14:paraId="688D9F13" w14:textId="77777777" w:rsidR="007A1CCC" w:rsidRPr="00071030" w:rsidRDefault="007A1CCC">
            <w:pPr>
              <w:pStyle w:val="ECVLanguageHeading"/>
            </w:pPr>
            <w:r w:rsidRPr="00071030">
              <w:t>UNDERSTANDING</w:t>
            </w:r>
          </w:p>
        </w:tc>
        <w:tc>
          <w:tcPr>
            <w:tcW w:w="2999" w:type="dxa"/>
            <w:gridSpan w:val="2"/>
            <w:tcBorders>
              <w:top w:val="single" w:sz="8" w:space="0" w:color="C0C0C0"/>
              <w:left w:val="single" w:sz="8" w:space="0" w:color="C0C0C0"/>
              <w:bottom w:val="single" w:sz="8" w:space="0" w:color="C0C0C0"/>
            </w:tcBorders>
            <w:shd w:val="clear" w:color="auto" w:fill="auto"/>
            <w:vAlign w:val="center"/>
          </w:tcPr>
          <w:p w14:paraId="1C1C80AF" w14:textId="77777777" w:rsidR="007A1CCC" w:rsidRPr="00071030" w:rsidRDefault="007A1CCC">
            <w:pPr>
              <w:pStyle w:val="ECVLanguageHeading"/>
            </w:pPr>
            <w:r w:rsidRPr="00071030">
              <w:t>SPEAKING</w:t>
            </w:r>
          </w:p>
        </w:tc>
        <w:tc>
          <w:tcPr>
            <w:tcW w:w="1501" w:type="dxa"/>
            <w:tcBorders>
              <w:top w:val="single" w:sz="8" w:space="0" w:color="C0C0C0"/>
              <w:left w:val="single" w:sz="8" w:space="0" w:color="C0C0C0"/>
              <w:bottom w:val="single" w:sz="8" w:space="0" w:color="C0C0C0"/>
            </w:tcBorders>
            <w:shd w:val="clear" w:color="auto" w:fill="auto"/>
            <w:vAlign w:val="center"/>
          </w:tcPr>
          <w:p w14:paraId="0C8178D1" w14:textId="77777777" w:rsidR="007A1CCC" w:rsidRPr="00071030" w:rsidRDefault="007A1CCC">
            <w:pPr>
              <w:pStyle w:val="ECVLanguageHeading"/>
            </w:pPr>
            <w:r w:rsidRPr="00071030">
              <w:t>WRITING</w:t>
            </w:r>
          </w:p>
        </w:tc>
      </w:tr>
      <w:tr w:rsidR="007A1CCC" w:rsidRPr="00071030" w14:paraId="73921760" w14:textId="77777777">
        <w:trPr>
          <w:trHeight w:val="340"/>
        </w:trPr>
        <w:tc>
          <w:tcPr>
            <w:tcW w:w="2834" w:type="dxa"/>
            <w:vMerge/>
            <w:shd w:val="clear" w:color="auto" w:fill="auto"/>
          </w:tcPr>
          <w:p w14:paraId="73D7B5EA" w14:textId="77777777" w:rsidR="007A1CCC" w:rsidRPr="00071030" w:rsidRDefault="007A1CCC"/>
        </w:tc>
        <w:tc>
          <w:tcPr>
            <w:tcW w:w="1544" w:type="dxa"/>
            <w:tcBorders>
              <w:bottom w:val="single" w:sz="8" w:space="0" w:color="C0C0C0"/>
            </w:tcBorders>
            <w:shd w:val="clear" w:color="auto" w:fill="auto"/>
            <w:vAlign w:val="center"/>
          </w:tcPr>
          <w:p w14:paraId="356AB4B0" w14:textId="77777777" w:rsidR="007A1CCC" w:rsidRPr="00071030" w:rsidRDefault="007A1CCC">
            <w:pPr>
              <w:pStyle w:val="ECVLanguageSubHeading"/>
            </w:pPr>
            <w:r w:rsidRPr="00071030">
              <w:t>Listening</w:t>
            </w:r>
          </w:p>
        </w:tc>
        <w:tc>
          <w:tcPr>
            <w:tcW w:w="1498" w:type="dxa"/>
            <w:tcBorders>
              <w:left w:val="single" w:sz="8" w:space="0" w:color="C0C0C0"/>
              <w:bottom w:val="single" w:sz="8" w:space="0" w:color="C0C0C0"/>
            </w:tcBorders>
            <w:shd w:val="clear" w:color="auto" w:fill="auto"/>
            <w:vAlign w:val="center"/>
          </w:tcPr>
          <w:p w14:paraId="59A2A651" w14:textId="77777777" w:rsidR="007A1CCC" w:rsidRPr="00071030" w:rsidRDefault="007A1CCC">
            <w:pPr>
              <w:pStyle w:val="ECVLanguageSubHeading"/>
            </w:pPr>
            <w:r w:rsidRPr="00071030">
              <w:t>Reading</w:t>
            </w:r>
          </w:p>
        </w:tc>
        <w:tc>
          <w:tcPr>
            <w:tcW w:w="1499" w:type="dxa"/>
            <w:tcBorders>
              <w:left w:val="single" w:sz="8" w:space="0" w:color="C0C0C0"/>
              <w:bottom w:val="single" w:sz="8" w:space="0" w:color="C0C0C0"/>
            </w:tcBorders>
            <w:shd w:val="clear" w:color="auto" w:fill="auto"/>
            <w:vAlign w:val="center"/>
          </w:tcPr>
          <w:p w14:paraId="4FD35E39" w14:textId="77777777" w:rsidR="007A1CCC" w:rsidRPr="00071030" w:rsidRDefault="007A1CCC">
            <w:pPr>
              <w:pStyle w:val="ECVLanguageSubHeading"/>
            </w:pPr>
            <w:r w:rsidRPr="00071030">
              <w:t>Spoken interaction</w:t>
            </w:r>
          </w:p>
        </w:tc>
        <w:tc>
          <w:tcPr>
            <w:tcW w:w="1500" w:type="dxa"/>
            <w:tcBorders>
              <w:left w:val="single" w:sz="8" w:space="0" w:color="C0C0C0"/>
              <w:bottom w:val="single" w:sz="8" w:space="0" w:color="C0C0C0"/>
            </w:tcBorders>
            <w:shd w:val="clear" w:color="auto" w:fill="auto"/>
            <w:vAlign w:val="center"/>
          </w:tcPr>
          <w:p w14:paraId="7AD280A7" w14:textId="77777777" w:rsidR="007A1CCC" w:rsidRPr="00071030" w:rsidRDefault="007A1CCC">
            <w:pPr>
              <w:pStyle w:val="ECVLanguageSubHeading"/>
            </w:pPr>
            <w:r w:rsidRPr="00071030">
              <w:t>Spoken production</w:t>
            </w:r>
          </w:p>
        </w:tc>
        <w:tc>
          <w:tcPr>
            <w:tcW w:w="1501" w:type="dxa"/>
            <w:tcBorders>
              <w:left w:val="single" w:sz="8" w:space="0" w:color="C0C0C0"/>
              <w:bottom w:val="single" w:sz="8" w:space="0" w:color="C0C0C0"/>
            </w:tcBorders>
            <w:shd w:val="clear" w:color="auto" w:fill="auto"/>
            <w:vAlign w:val="center"/>
          </w:tcPr>
          <w:p w14:paraId="789E7F99" w14:textId="77777777" w:rsidR="007A1CCC" w:rsidRPr="00071030" w:rsidRDefault="007A1CCC">
            <w:pPr>
              <w:pStyle w:val="ECVRightColumn"/>
            </w:pPr>
          </w:p>
        </w:tc>
      </w:tr>
      <w:tr w:rsidR="007A1CCC" w:rsidRPr="00071030" w14:paraId="0E780944" w14:textId="77777777">
        <w:trPr>
          <w:trHeight w:val="283"/>
        </w:trPr>
        <w:tc>
          <w:tcPr>
            <w:tcW w:w="2834" w:type="dxa"/>
            <w:shd w:val="clear" w:color="auto" w:fill="auto"/>
            <w:vAlign w:val="center"/>
          </w:tcPr>
          <w:p w14:paraId="4697B563" w14:textId="77777777" w:rsidR="007A1CCC" w:rsidRPr="00071030" w:rsidRDefault="007A1CCC">
            <w:pPr>
              <w:pStyle w:val="ECVLanguageName"/>
            </w:pPr>
            <w:r w:rsidRPr="00071030">
              <w:t>English</w:t>
            </w:r>
          </w:p>
        </w:tc>
        <w:tc>
          <w:tcPr>
            <w:tcW w:w="1544" w:type="dxa"/>
            <w:tcBorders>
              <w:bottom w:val="single" w:sz="4" w:space="0" w:color="C0C0C0"/>
            </w:tcBorders>
            <w:shd w:val="clear" w:color="auto" w:fill="auto"/>
            <w:vAlign w:val="center"/>
          </w:tcPr>
          <w:p w14:paraId="45166604" w14:textId="77777777" w:rsidR="007A1CCC" w:rsidRPr="00071030" w:rsidRDefault="007A1CCC">
            <w:pPr>
              <w:pStyle w:val="ECVLanguageLevel"/>
              <w:rPr>
                <w:caps w:val="0"/>
              </w:rPr>
            </w:pPr>
            <w:r w:rsidRPr="00071030">
              <w:rPr>
                <w:caps w:val="0"/>
              </w:rPr>
              <w:t>C2</w:t>
            </w:r>
          </w:p>
        </w:tc>
        <w:tc>
          <w:tcPr>
            <w:tcW w:w="1498" w:type="dxa"/>
            <w:tcBorders>
              <w:bottom w:val="single" w:sz="4" w:space="0" w:color="C0C0C0"/>
            </w:tcBorders>
            <w:shd w:val="clear" w:color="auto" w:fill="auto"/>
            <w:vAlign w:val="center"/>
          </w:tcPr>
          <w:p w14:paraId="07547322" w14:textId="77777777" w:rsidR="007A1CCC" w:rsidRPr="00071030" w:rsidRDefault="007A1CCC">
            <w:pPr>
              <w:pStyle w:val="ECVLanguageLevel"/>
              <w:rPr>
                <w:caps w:val="0"/>
              </w:rPr>
            </w:pPr>
            <w:r w:rsidRPr="00071030">
              <w:rPr>
                <w:caps w:val="0"/>
              </w:rPr>
              <w:t>C2</w:t>
            </w:r>
          </w:p>
        </w:tc>
        <w:tc>
          <w:tcPr>
            <w:tcW w:w="1499" w:type="dxa"/>
            <w:tcBorders>
              <w:bottom w:val="single" w:sz="4" w:space="0" w:color="C0C0C0"/>
            </w:tcBorders>
            <w:shd w:val="clear" w:color="auto" w:fill="auto"/>
            <w:vAlign w:val="center"/>
          </w:tcPr>
          <w:p w14:paraId="4DD1A45C" w14:textId="77777777" w:rsidR="007A1CCC" w:rsidRPr="00071030" w:rsidRDefault="007A1CCC">
            <w:pPr>
              <w:pStyle w:val="ECVLanguageLevel"/>
              <w:rPr>
                <w:caps w:val="0"/>
              </w:rPr>
            </w:pPr>
            <w:r w:rsidRPr="00071030">
              <w:rPr>
                <w:caps w:val="0"/>
              </w:rPr>
              <w:t>C2</w:t>
            </w:r>
          </w:p>
        </w:tc>
        <w:tc>
          <w:tcPr>
            <w:tcW w:w="1500" w:type="dxa"/>
            <w:tcBorders>
              <w:bottom w:val="single" w:sz="4" w:space="0" w:color="C0C0C0"/>
            </w:tcBorders>
            <w:shd w:val="clear" w:color="auto" w:fill="auto"/>
            <w:vAlign w:val="center"/>
          </w:tcPr>
          <w:p w14:paraId="7E9B426C" w14:textId="77777777" w:rsidR="007A1CCC" w:rsidRPr="00071030" w:rsidRDefault="007A1CCC">
            <w:pPr>
              <w:pStyle w:val="ECVLanguageLevel"/>
              <w:rPr>
                <w:caps w:val="0"/>
              </w:rPr>
            </w:pPr>
            <w:r w:rsidRPr="00071030">
              <w:rPr>
                <w:caps w:val="0"/>
              </w:rPr>
              <w:t>C2</w:t>
            </w:r>
          </w:p>
        </w:tc>
        <w:tc>
          <w:tcPr>
            <w:tcW w:w="1501" w:type="dxa"/>
            <w:tcBorders>
              <w:bottom w:val="single" w:sz="4" w:space="0" w:color="C0C0C0"/>
            </w:tcBorders>
            <w:shd w:val="clear" w:color="auto" w:fill="auto"/>
            <w:vAlign w:val="center"/>
          </w:tcPr>
          <w:p w14:paraId="255023BE" w14:textId="77777777" w:rsidR="007A1CCC" w:rsidRPr="00071030" w:rsidRDefault="007A1CCC">
            <w:pPr>
              <w:pStyle w:val="ECVLanguageLevel"/>
            </w:pPr>
            <w:r w:rsidRPr="00071030">
              <w:rPr>
                <w:caps w:val="0"/>
              </w:rPr>
              <w:t>C2</w:t>
            </w:r>
          </w:p>
        </w:tc>
      </w:tr>
      <w:tr w:rsidR="007D08BC" w:rsidRPr="00071030" w14:paraId="0FD6C83A" w14:textId="77777777">
        <w:trPr>
          <w:trHeight w:val="283"/>
        </w:trPr>
        <w:tc>
          <w:tcPr>
            <w:tcW w:w="2834" w:type="dxa"/>
            <w:shd w:val="clear" w:color="auto" w:fill="auto"/>
            <w:vAlign w:val="center"/>
          </w:tcPr>
          <w:p w14:paraId="2E0835FE" w14:textId="77777777" w:rsidR="007D08BC" w:rsidRPr="00071030" w:rsidRDefault="007D08BC" w:rsidP="007D08BC">
            <w:pPr>
              <w:pStyle w:val="ECVLanguageName"/>
            </w:pPr>
            <w:r w:rsidRPr="00071030">
              <w:t>French</w:t>
            </w:r>
          </w:p>
        </w:tc>
        <w:tc>
          <w:tcPr>
            <w:tcW w:w="1544" w:type="dxa"/>
            <w:tcBorders>
              <w:bottom w:val="single" w:sz="4" w:space="0" w:color="C0C0C0"/>
            </w:tcBorders>
            <w:shd w:val="clear" w:color="auto" w:fill="auto"/>
            <w:vAlign w:val="center"/>
          </w:tcPr>
          <w:p w14:paraId="0C0C2546" w14:textId="77777777" w:rsidR="007D08BC" w:rsidRPr="00071030" w:rsidRDefault="007D08BC" w:rsidP="007D08BC">
            <w:pPr>
              <w:pStyle w:val="ECVLanguageLevel"/>
              <w:rPr>
                <w:caps w:val="0"/>
              </w:rPr>
            </w:pPr>
            <w:r w:rsidRPr="00071030">
              <w:rPr>
                <w:caps w:val="0"/>
              </w:rPr>
              <w:t>C1</w:t>
            </w:r>
          </w:p>
        </w:tc>
        <w:tc>
          <w:tcPr>
            <w:tcW w:w="1498" w:type="dxa"/>
            <w:tcBorders>
              <w:bottom w:val="single" w:sz="4" w:space="0" w:color="C0C0C0"/>
            </w:tcBorders>
            <w:shd w:val="clear" w:color="auto" w:fill="auto"/>
            <w:vAlign w:val="center"/>
          </w:tcPr>
          <w:p w14:paraId="48FE934B" w14:textId="77777777" w:rsidR="007D08BC" w:rsidRPr="00071030" w:rsidRDefault="007D08BC" w:rsidP="007D08BC">
            <w:pPr>
              <w:pStyle w:val="ECVLanguageLevel"/>
              <w:rPr>
                <w:caps w:val="0"/>
              </w:rPr>
            </w:pPr>
            <w:r w:rsidRPr="00071030">
              <w:rPr>
                <w:caps w:val="0"/>
              </w:rPr>
              <w:t>C1</w:t>
            </w:r>
          </w:p>
        </w:tc>
        <w:tc>
          <w:tcPr>
            <w:tcW w:w="1499" w:type="dxa"/>
            <w:tcBorders>
              <w:bottom w:val="single" w:sz="4" w:space="0" w:color="C0C0C0"/>
            </w:tcBorders>
            <w:shd w:val="clear" w:color="auto" w:fill="auto"/>
            <w:vAlign w:val="center"/>
          </w:tcPr>
          <w:p w14:paraId="69658C2B" w14:textId="77777777" w:rsidR="007D08BC" w:rsidRPr="00071030" w:rsidRDefault="007D08BC" w:rsidP="007D08BC">
            <w:pPr>
              <w:pStyle w:val="ECVLanguageLevel"/>
              <w:rPr>
                <w:caps w:val="0"/>
              </w:rPr>
            </w:pPr>
            <w:r w:rsidRPr="00071030">
              <w:rPr>
                <w:caps w:val="0"/>
              </w:rPr>
              <w:t>C1</w:t>
            </w:r>
          </w:p>
        </w:tc>
        <w:tc>
          <w:tcPr>
            <w:tcW w:w="1500" w:type="dxa"/>
            <w:tcBorders>
              <w:bottom w:val="single" w:sz="4" w:space="0" w:color="C0C0C0"/>
            </w:tcBorders>
            <w:shd w:val="clear" w:color="auto" w:fill="auto"/>
            <w:vAlign w:val="center"/>
          </w:tcPr>
          <w:p w14:paraId="77BF4B59" w14:textId="77777777" w:rsidR="007D08BC" w:rsidRPr="00071030" w:rsidRDefault="007D08BC" w:rsidP="007D08BC">
            <w:pPr>
              <w:pStyle w:val="ECVLanguageLevel"/>
              <w:rPr>
                <w:caps w:val="0"/>
              </w:rPr>
            </w:pPr>
            <w:r w:rsidRPr="00071030">
              <w:rPr>
                <w:caps w:val="0"/>
              </w:rPr>
              <w:t>C1</w:t>
            </w:r>
          </w:p>
        </w:tc>
        <w:tc>
          <w:tcPr>
            <w:tcW w:w="1501" w:type="dxa"/>
            <w:tcBorders>
              <w:bottom w:val="single" w:sz="4" w:space="0" w:color="C0C0C0"/>
            </w:tcBorders>
            <w:shd w:val="clear" w:color="auto" w:fill="auto"/>
            <w:vAlign w:val="center"/>
          </w:tcPr>
          <w:p w14:paraId="00BA8D99" w14:textId="77777777" w:rsidR="007D08BC" w:rsidRPr="00071030" w:rsidRDefault="007D08BC" w:rsidP="007D08BC">
            <w:pPr>
              <w:pStyle w:val="ECVLanguageLevel"/>
            </w:pPr>
            <w:r w:rsidRPr="00071030">
              <w:rPr>
                <w:caps w:val="0"/>
              </w:rPr>
              <w:t>C1</w:t>
            </w:r>
          </w:p>
        </w:tc>
      </w:tr>
      <w:tr w:rsidR="007A1CCC" w:rsidRPr="00071030" w14:paraId="066977D7" w14:textId="77777777">
        <w:trPr>
          <w:trHeight w:val="283"/>
        </w:trPr>
        <w:tc>
          <w:tcPr>
            <w:tcW w:w="2834" w:type="dxa"/>
            <w:shd w:val="clear" w:color="auto" w:fill="auto"/>
            <w:vAlign w:val="center"/>
          </w:tcPr>
          <w:p w14:paraId="3DCC21E7" w14:textId="77777777" w:rsidR="007A1CCC" w:rsidRPr="00071030" w:rsidRDefault="007A1CCC">
            <w:pPr>
              <w:pStyle w:val="ECVLanguageName"/>
            </w:pPr>
            <w:r w:rsidRPr="00071030">
              <w:t>Spanish</w:t>
            </w:r>
          </w:p>
        </w:tc>
        <w:tc>
          <w:tcPr>
            <w:tcW w:w="1544" w:type="dxa"/>
            <w:tcBorders>
              <w:bottom w:val="single" w:sz="4" w:space="0" w:color="C0C0C0"/>
            </w:tcBorders>
            <w:shd w:val="clear" w:color="auto" w:fill="auto"/>
            <w:vAlign w:val="center"/>
          </w:tcPr>
          <w:p w14:paraId="5B3D6F2C" w14:textId="77777777" w:rsidR="007A1CCC" w:rsidRPr="00071030" w:rsidRDefault="007D08BC">
            <w:pPr>
              <w:pStyle w:val="ECVLanguageLevel"/>
              <w:rPr>
                <w:caps w:val="0"/>
              </w:rPr>
            </w:pPr>
            <w:r>
              <w:rPr>
                <w:caps w:val="0"/>
              </w:rPr>
              <w:t>B2</w:t>
            </w:r>
          </w:p>
        </w:tc>
        <w:tc>
          <w:tcPr>
            <w:tcW w:w="1498" w:type="dxa"/>
            <w:tcBorders>
              <w:bottom w:val="single" w:sz="4" w:space="0" w:color="C0C0C0"/>
            </w:tcBorders>
            <w:shd w:val="clear" w:color="auto" w:fill="auto"/>
            <w:vAlign w:val="center"/>
          </w:tcPr>
          <w:p w14:paraId="5EDEE1D2" w14:textId="77777777" w:rsidR="007A1CCC" w:rsidRPr="00071030" w:rsidRDefault="007D08BC">
            <w:pPr>
              <w:pStyle w:val="ECVLanguageLevel"/>
              <w:rPr>
                <w:caps w:val="0"/>
              </w:rPr>
            </w:pPr>
            <w:r>
              <w:rPr>
                <w:caps w:val="0"/>
              </w:rPr>
              <w:t>B2</w:t>
            </w:r>
          </w:p>
        </w:tc>
        <w:tc>
          <w:tcPr>
            <w:tcW w:w="1499" w:type="dxa"/>
            <w:tcBorders>
              <w:bottom w:val="single" w:sz="4" w:space="0" w:color="C0C0C0"/>
            </w:tcBorders>
            <w:shd w:val="clear" w:color="auto" w:fill="auto"/>
            <w:vAlign w:val="center"/>
          </w:tcPr>
          <w:p w14:paraId="278A1247" w14:textId="77777777" w:rsidR="007A1CCC" w:rsidRPr="00071030" w:rsidRDefault="007D08BC">
            <w:pPr>
              <w:pStyle w:val="ECVLanguageLevel"/>
              <w:rPr>
                <w:caps w:val="0"/>
              </w:rPr>
            </w:pPr>
            <w:r>
              <w:rPr>
                <w:caps w:val="0"/>
              </w:rPr>
              <w:t>B2</w:t>
            </w:r>
          </w:p>
        </w:tc>
        <w:tc>
          <w:tcPr>
            <w:tcW w:w="1500" w:type="dxa"/>
            <w:tcBorders>
              <w:bottom w:val="single" w:sz="4" w:space="0" w:color="C0C0C0"/>
            </w:tcBorders>
            <w:shd w:val="clear" w:color="auto" w:fill="auto"/>
            <w:vAlign w:val="center"/>
          </w:tcPr>
          <w:p w14:paraId="76EBF13A" w14:textId="77777777" w:rsidR="007A1CCC" w:rsidRPr="00071030" w:rsidRDefault="007D08BC">
            <w:pPr>
              <w:pStyle w:val="ECVLanguageLevel"/>
              <w:rPr>
                <w:caps w:val="0"/>
              </w:rPr>
            </w:pPr>
            <w:r>
              <w:rPr>
                <w:caps w:val="0"/>
              </w:rPr>
              <w:t>B2</w:t>
            </w:r>
          </w:p>
        </w:tc>
        <w:tc>
          <w:tcPr>
            <w:tcW w:w="1501" w:type="dxa"/>
            <w:tcBorders>
              <w:bottom w:val="single" w:sz="4" w:space="0" w:color="C0C0C0"/>
            </w:tcBorders>
            <w:shd w:val="clear" w:color="auto" w:fill="auto"/>
            <w:vAlign w:val="center"/>
          </w:tcPr>
          <w:p w14:paraId="54922A31" w14:textId="77777777" w:rsidR="007A1CCC" w:rsidRPr="00071030" w:rsidRDefault="007D08BC">
            <w:pPr>
              <w:pStyle w:val="ECVLanguageLevel"/>
            </w:pPr>
            <w:r>
              <w:rPr>
                <w:caps w:val="0"/>
              </w:rPr>
              <w:t>B2</w:t>
            </w:r>
          </w:p>
        </w:tc>
      </w:tr>
      <w:tr w:rsidR="007A1CCC" w:rsidRPr="00071030" w14:paraId="63A1D040" w14:textId="77777777">
        <w:trPr>
          <w:trHeight w:val="397"/>
        </w:trPr>
        <w:tc>
          <w:tcPr>
            <w:tcW w:w="2834" w:type="dxa"/>
            <w:shd w:val="clear" w:color="auto" w:fill="auto"/>
          </w:tcPr>
          <w:p w14:paraId="17272503" w14:textId="77777777" w:rsidR="007A1CCC" w:rsidRPr="00071030" w:rsidRDefault="007A1CCC"/>
        </w:tc>
        <w:tc>
          <w:tcPr>
            <w:tcW w:w="7542" w:type="dxa"/>
            <w:gridSpan w:val="5"/>
            <w:shd w:val="clear" w:color="auto" w:fill="auto"/>
            <w:vAlign w:val="bottom"/>
          </w:tcPr>
          <w:p w14:paraId="53C39684" w14:textId="77777777" w:rsidR="007A1CCC" w:rsidRPr="00071030" w:rsidRDefault="007A1CCC">
            <w:pPr>
              <w:pStyle w:val="ECVLanguageExplanation"/>
            </w:pPr>
            <w:r w:rsidRPr="00071030">
              <w:t>Levels: A1 and A2: Basic user - B1 and B2: Independent user - C1 and C2: Proficient user</w:t>
            </w:r>
          </w:p>
          <w:p w14:paraId="11722929" w14:textId="77777777" w:rsidR="007A1CCC" w:rsidRPr="00071030" w:rsidRDefault="00A13E26">
            <w:pPr>
              <w:pStyle w:val="ECVLanguageExplanation"/>
            </w:pPr>
            <w:hyperlink r:id="rId13" w:history="1">
              <w:r w:rsidR="007A1CCC" w:rsidRPr="00071030">
                <w:rPr>
                  <w:rStyle w:val="Hyperlink"/>
                </w:rPr>
                <w:t>Common European Framework of Reference for Languages</w:t>
              </w:r>
            </w:hyperlink>
            <w:r w:rsidR="007A1CCC" w:rsidRPr="00071030">
              <w:t xml:space="preserve"> </w:t>
            </w:r>
          </w:p>
        </w:tc>
      </w:tr>
    </w:tbl>
    <w:p w14:paraId="51BF1698" w14:textId="77777777" w:rsidR="007A1CCC" w:rsidRPr="00071030" w:rsidRDefault="007A1CCC">
      <w:pPr>
        <w:pStyle w:val="ECVText"/>
      </w:pPr>
    </w:p>
    <w:p w14:paraId="2AD29BEA" w14:textId="77777777" w:rsidR="007A1CCC" w:rsidRPr="00071030" w:rsidRDefault="007A1CCC">
      <w:pPr>
        <w:pStyle w:val="ECVText"/>
      </w:pPr>
    </w:p>
    <w:p w14:paraId="6CB4198D" w14:textId="77777777" w:rsidR="007A1CCC" w:rsidRPr="00071030" w:rsidRDefault="007A1CCC">
      <w:pPr>
        <w:pStyle w:val="ECVText"/>
      </w:pPr>
    </w:p>
    <w:tbl>
      <w:tblPr>
        <w:tblW w:w="0" w:type="auto"/>
        <w:jc w:val="right"/>
        <w:tblLayout w:type="fixed"/>
        <w:tblCellMar>
          <w:left w:w="0" w:type="dxa"/>
          <w:right w:w="0" w:type="dxa"/>
        </w:tblCellMar>
        <w:tblLook w:val="0000" w:firstRow="0" w:lastRow="0" w:firstColumn="0" w:lastColumn="0" w:noHBand="0" w:noVBand="0"/>
      </w:tblPr>
      <w:tblGrid>
        <w:gridCol w:w="2835"/>
        <w:gridCol w:w="7540"/>
      </w:tblGrid>
      <w:tr w:rsidR="007A1CCC" w:rsidRPr="00071030" w14:paraId="0F46BD52" w14:textId="77777777">
        <w:trPr>
          <w:trHeight w:val="170"/>
          <w:jc w:val="right"/>
        </w:trPr>
        <w:tc>
          <w:tcPr>
            <w:tcW w:w="2835" w:type="dxa"/>
            <w:shd w:val="clear" w:color="auto" w:fill="auto"/>
          </w:tcPr>
          <w:p w14:paraId="5445233E" w14:textId="77777777" w:rsidR="007A1CCC" w:rsidRPr="00071030" w:rsidRDefault="007A1CCC">
            <w:pPr>
              <w:pStyle w:val="ECVLeftHeading"/>
            </w:pPr>
            <w:r w:rsidRPr="00071030">
              <w:t>ADDITIONAL INFORMATION</w:t>
            </w:r>
          </w:p>
        </w:tc>
        <w:tc>
          <w:tcPr>
            <w:tcW w:w="7540" w:type="dxa"/>
            <w:shd w:val="clear" w:color="auto" w:fill="auto"/>
            <w:vAlign w:val="bottom"/>
          </w:tcPr>
          <w:p w14:paraId="7B65E673" w14:textId="77777777" w:rsidR="007A1CCC" w:rsidRPr="00071030" w:rsidRDefault="006A30DD">
            <w:pPr>
              <w:pStyle w:val="ECVBlueBox"/>
            </w:pPr>
            <w:r w:rsidRPr="00071030">
              <w:rPr>
                <w:noProof/>
              </w:rPr>
              <w:drawing>
                <wp:inline distT="0" distB="0" distL="0" distR="0" wp14:anchorId="0161F075" wp14:editId="25527187">
                  <wp:extent cx="4792345" cy="88265"/>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92345" cy="88265"/>
                          </a:xfrm>
                          <a:prstGeom prst="rect">
                            <a:avLst/>
                          </a:prstGeom>
                          <a:solidFill>
                            <a:srgbClr val="FFFFFF"/>
                          </a:solidFill>
                          <a:ln>
                            <a:noFill/>
                          </a:ln>
                        </pic:spPr>
                      </pic:pic>
                    </a:graphicData>
                  </a:graphic>
                </wp:inline>
              </w:drawing>
            </w:r>
            <w:r w:rsidR="007A1CCC" w:rsidRPr="00071030">
              <w:t xml:space="preserve"> </w:t>
            </w:r>
          </w:p>
        </w:tc>
      </w:tr>
    </w:tbl>
    <w:p w14:paraId="27D9A9DD" w14:textId="77777777" w:rsidR="007A1CCC" w:rsidRPr="00071030" w:rsidRDefault="007A1CCC">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7A1CCC" w:rsidRPr="0010435B" w14:paraId="4ABA9C55" w14:textId="77777777">
        <w:trPr>
          <w:trHeight w:val="170"/>
        </w:trPr>
        <w:tc>
          <w:tcPr>
            <w:tcW w:w="2834" w:type="dxa"/>
            <w:shd w:val="clear" w:color="auto" w:fill="auto"/>
          </w:tcPr>
          <w:p w14:paraId="6147EF4A" w14:textId="383909E5" w:rsidR="007A1CCC" w:rsidRDefault="007D08BC" w:rsidP="00AC3311">
            <w:pPr>
              <w:pStyle w:val="ECVLeftDetails"/>
            </w:pPr>
            <w:r w:rsidRPr="007D08BC">
              <w:t>F</w:t>
            </w:r>
            <w:r>
              <w:t>ellowships</w:t>
            </w:r>
            <w:r w:rsidR="00AC3311">
              <w:t>,</w:t>
            </w:r>
            <w:r>
              <w:t xml:space="preserve"> </w:t>
            </w:r>
            <w:r w:rsidR="00AC3311">
              <w:t>a</w:t>
            </w:r>
            <w:r>
              <w:t>wards</w:t>
            </w:r>
            <w:r w:rsidR="00AC3311">
              <w:t>, major keynotes, media appearances.</w:t>
            </w:r>
          </w:p>
          <w:p w14:paraId="64564A2A" w14:textId="282120EB" w:rsidR="00AC3311" w:rsidRPr="00071030" w:rsidRDefault="00AC3311" w:rsidP="00AC3311">
            <w:pPr>
              <w:pStyle w:val="ECVLeftDetails"/>
            </w:pPr>
            <w:r>
              <w:t xml:space="preserve">All sources openly available in chronological order at  </w:t>
            </w:r>
            <w:r w:rsidRPr="00AC3311">
              <w:rPr>
                <w:sz w:val="18"/>
                <w:szCs w:val="18"/>
              </w:rPr>
              <w:t>http://www.andreasaltelli.eu/news</w:t>
            </w:r>
          </w:p>
        </w:tc>
        <w:tc>
          <w:tcPr>
            <w:tcW w:w="7542" w:type="dxa"/>
            <w:shd w:val="clear" w:color="auto" w:fill="auto"/>
          </w:tcPr>
          <w:p w14:paraId="4FC67B8D" w14:textId="75C2255A" w:rsidR="006E67AB" w:rsidRDefault="006E67AB" w:rsidP="006E67AB">
            <w:pPr>
              <w:pStyle w:val="europass5fbulleted5flist"/>
              <w:widowControl/>
              <w:numPr>
                <w:ilvl w:val="0"/>
                <w:numId w:val="2"/>
              </w:numPr>
              <w:suppressAutoHyphens w:val="0"/>
            </w:pPr>
            <w:r>
              <w:t xml:space="preserve">2021, </w:t>
            </w:r>
            <w:r w:rsidRPr="006E67AB">
              <w:t xml:space="preserve"> September 23</w:t>
            </w:r>
            <w:r>
              <w:t xml:space="preserve"> Keynote: </w:t>
            </w:r>
            <w:r w:rsidRPr="006E67AB">
              <w:t>Ethics of quantification, #SAE2021 – BIG4small Conference, SAE 2021 Conference on big data and small area estimation, Naples, September 20-24 2021.</w:t>
            </w:r>
          </w:p>
          <w:p w14:paraId="2A05A1BD" w14:textId="4DBC66F4" w:rsidR="006E67AB" w:rsidRDefault="006E67AB" w:rsidP="006E67AB">
            <w:pPr>
              <w:pStyle w:val="europass5fbulleted5flist"/>
              <w:widowControl/>
              <w:numPr>
                <w:ilvl w:val="0"/>
                <w:numId w:val="2"/>
              </w:numPr>
              <w:suppressAutoHyphens w:val="0"/>
            </w:pPr>
            <w:r>
              <w:t xml:space="preserve">2021, </w:t>
            </w:r>
            <w:r w:rsidRPr="006E67AB">
              <w:t>September 20 Sensitivity Analysis, Lecture to the Department of Statistics, Harvard University, September 20, 2021.</w:t>
            </w:r>
          </w:p>
          <w:p w14:paraId="341FF6AA" w14:textId="1E78A3D0" w:rsidR="006E67AB" w:rsidRDefault="006E67AB" w:rsidP="006E67AB">
            <w:pPr>
              <w:pStyle w:val="europass5fbulleted5flist"/>
              <w:widowControl/>
              <w:numPr>
                <w:ilvl w:val="0"/>
                <w:numId w:val="2"/>
              </w:numPr>
              <w:suppressAutoHyphens w:val="0"/>
            </w:pPr>
            <w:r>
              <w:t xml:space="preserve">2021, </w:t>
            </w:r>
            <w:r w:rsidRPr="006E67AB">
              <w:t xml:space="preserve">June 16 </w:t>
            </w:r>
            <w:r>
              <w:t>O</w:t>
            </w:r>
            <w:r w:rsidRPr="006E67AB">
              <w:t>pening talk at 'Forecasting the future for sustainable development - Approaches to Modelling and the Science of Prediction', Centro per l’Eccellenza e gli Studi Transdisciplinari (CEST), Young Scholar Initiative of the Institute for New Economic thinking (INET) and OECD, June 16, 2021.</w:t>
            </w:r>
          </w:p>
          <w:p w14:paraId="1215DE9B" w14:textId="560A23AE" w:rsidR="003A79A4" w:rsidRDefault="003A79A4" w:rsidP="003A79A4">
            <w:pPr>
              <w:pStyle w:val="europass5fbulleted5flist"/>
              <w:widowControl/>
              <w:numPr>
                <w:ilvl w:val="0"/>
                <w:numId w:val="2"/>
              </w:numPr>
              <w:suppressAutoHyphens w:val="0"/>
            </w:pPr>
            <w:r>
              <w:t xml:space="preserve">2021, </w:t>
            </w:r>
            <w:r w:rsidRPr="003A79A4">
              <w:t>April 14 Webinar: Altered States: Cartesian and Ricardian dreams, with Erik Reiner and Mario Giampietro at the Uncomfortable Knowledge Hub, April 14, 2021.</w:t>
            </w:r>
          </w:p>
          <w:p w14:paraId="15311D3C" w14:textId="33745CB8" w:rsidR="006E67AB" w:rsidRDefault="003A79A4" w:rsidP="003A79A4">
            <w:pPr>
              <w:pStyle w:val="europass5fbulleted5flist"/>
              <w:widowControl/>
              <w:numPr>
                <w:ilvl w:val="0"/>
                <w:numId w:val="2"/>
              </w:numPr>
              <w:suppressAutoHyphens w:val="0"/>
            </w:pPr>
            <w:r>
              <w:t xml:space="preserve">2021, </w:t>
            </w:r>
            <w:r w:rsidRPr="003A79A4">
              <w:t>March 18 Opponent for the PhD thesis “Uncertainty in Ecological Footprint standard method accounts” by Sigurður E. Jóhannesson Faculty of Civil and Environmental Engineering, University of Iceland, 2021.</w:t>
            </w:r>
          </w:p>
          <w:p w14:paraId="069DBEB4" w14:textId="017A5189" w:rsidR="005967FD" w:rsidRDefault="0069607E" w:rsidP="00B34ACD">
            <w:pPr>
              <w:pStyle w:val="europass5fbulleted5flist"/>
              <w:widowControl/>
              <w:numPr>
                <w:ilvl w:val="0"/>
                <w:numId w:val="2"/>
              </w:numPr>
              <w:suppressAutoHyphens w:val="0"/>
            </w:pPr>
            <w:r w:rsidRPr="0010435B">
              <w:t>2021</w:t>
            </w:r>
            <w:r w:rsidR="00E85652">
              <w:t>, March,</w:t>
            </w:r>
            <w:r w:rsidRPr="0010435B">
              <w:t xml:space="preserve"> Ranked #6745 in the Stanford University's World Ranking of Scientist (top 2% of the world). Rank #6745 over 8 million ranked corresponds to the fist decile of the first percentile, i.e. to a top range</w:t>
            </w:r>
            <w:r w:rsidR="0010435B" w:rsidRPr="0010435B">
              <w:t>.</w:t>
            </w:r>
          </w:p>
          <w:p w14:paraId="53E14F6C" w14:textId="41D6FFFE" w:rsidR="00E85652" w:rsidRDefault="005967FD" w:rsidP="005967FD">
            <w:pPr>
              <w:pStyle w:val="europass5fbulleted5flist"/>
              <w:widowControl/>
              <w:numPr>
                <w:ilvl w:val="0"/>
                <w:numId w:val="2"/>
              </w:numPr>
              <w:suppressAutoHyphens w:val="0"/>
            </w:pPr>
            <w:r>
              <w:t xml:space="preserve">2021, </w:t>
            </w:r>
            <w:r w:rsidRPr="005967FD">
              <w:t>February 5</w:t>
            </w:r>
            <w:r>
              <w:t xml:space="preserve">, </w:t>
            </w:r>
            <w:r w:rsidR="00961162">
              <w:t>i</w:t>
            </w:r>
            <w:r>
              <w:t>nvited keynote at “</w:t>
            </w:r>
            <w:r w:rsidRPr="005967FD">
              <w:t>Is there need for an ethics of quantification?</w:t>
            </w:r>
            <w:r>
              <w:t>”</w:t>
            </w:r>
            <w:r w:rsidRPr="005967FD">
              <w:t xml:space="preserve"> Virtual webinar on ‘Ethics of quantification’, organized by Centre for Science and Technology Studies (CTWS), University of Leiden, February 5, 2021. </w:t>
            </w:r>
            <w:r w:rsidR="00E85652">
              <w:t xml:space="preserve"> </w:t>
            </w:r>
          </w:p>
          <w:p w14:paraId="2C26B91E" w14:textId="00BE2936" w:rsidR="00E85652" w:rsidRPr="005967FD" w:rsidRDefault="005967FD" w:rsidP="00484D58">
            <w:pPr>
              <w:pStyle w:val="europass5fbulleted5flist"/>
              <w:widowControl/>
              <w:numPr>
                <w:ilvl w:val="0"/>
                <w:numId w:val="2"/>
              </w:numPr>
              <w:suppressAutoHyphens w:val="0"/>
            </w:pPr>
            <w:r w:rsidRPr="005967FD">
              <w:rPr>
                <w:bCs/>
              </w:rPr>
              <w:t xml:space="preserve">2020, </w:t>
            </w:r>
            <w:r w:rsidR="00430EBB">
              <w:rPr>
                <w:bCs/>
              </w:rPr>
              <w:t xml:space="preserve">December, </w:t>
            </w:r>
            <w:r w:rsidRPr="005967FD">
              <w:rPr>
                <w:bCs/>
              </w:rPr>
              <w:t xml:space="preserve">invited </w:t>
            </w:r>
            <w:r>
              <w:rPr>
                <w:bCs/>
              </w:rPr>
              <w:t xml:space="preserve">keynote </w:t>
            </w:r>
            <w:r w:rsidRPr="005967FD">
              <w:rPr>
                <w:bCs/>
              </w:rPr>
              <w:t>"Is there need for an ethics of quantification?" Virtual ‘Library Talk’ organised by DG for Research and Innovation (RTD.A.1), Wednesday December 2, 2020</w:t>
            </w:r>
            <w:r>
              <w:rPr>
                <w:bCs/>
              </w:rPr>
              <w:t xml:space="preserve">. </w:t>
            </w:r>
            <w:r w:rsidR="00E85652" w:rsidRPr="005967FD">
              <w:t xml:space="preserve"> </w:t>
            </w:r>
          </w:p>
          <w:p w14:paraId="61B70025" w14:textId="2113B8E6" w:rsidR="00E85652" w:rsidRDefault="005967FD" w:rsidP="005967FD">
            <w:pPr>
              <w:pStyle w:val="europass5fbulleted5flist"/>
              <w:numPr>
                <w:ilvl w:val="0"/>
                <w:numId w:val="2"/>
              </w:numPr>
            </w:pPr>
            <w:r>
              <w:t xml:space="preserve">2020, </w:t>
            </w:r>
            <w:r w:rsidRPr="005967FD">
              <w:t>September</w:t>
            </w:r>
            <w:r>
              <w:t>, i</w:t>
            </w:r>
            <w:r w:rsidRPr="005967FD">
              <w:t xml:space="preserve">nterview with </w:t>
            </w:r>
            <w:r>
              <w:t>M</w:t>
            </w:r>
            <w:r w:rsidRPr="005967FD">
              <w:t xml:space="preserve">ichele Catanzaro at the European Conference of Science Journalism, (virtual) Trieste </w:t>
            </w:r>
            <w:r w:rsidR="00961162">
              <w:t>September 1</w:t>
            </w:r>
            <w:r w:rsidR="00961162" w:rsidRPr="00961162">
              <w:rPr>
                <w:vertAlign w:val="superscript"/>
              </w:rPr>
              <w:t>st</w:t>
            </w:r>
            <w:r w:rsidR="00961162">
              <w:t xml:space="preserve">, </w:t>
            </w:r>
            <w:r w:rsidRPr="005967FD">
              <w:t>2020.</w:t>
            </w:r>
          </w:p>
          <w:p w14:paraId="31A28D0E" w14:textId="799A439A" w:rsidR="00333579" w:rsidRDefault="00961162" w:rsidP="00961162">
            <w:pPr>
              <w:pStyle w:val="europass5fbulleted5flist"/>
              <w:numPr>
                <w:ilvl w:val="0"/>
                <w:numId w:val="2"/>
              </w:numPr>
            </w:pPr>
            <w:r>
              <w:t xml:space="preserve">2020, June, the Nature piece </w:t>
            </w:r>
            <w:r w:rsidRPr="00961162">
              <w:t>A. Saltelli, G. Bammer, I. Bruno, E. Charters, M. Di Fiore, E. Didier, W. Nelson Espeland, J. Kay, S. Lo Piano, D. Mayo, R.J. Pielke, T. Portaluri, T.M. Porter, A. Puy, I. Rafols, J.R. Ravetz, E. Reinert, D. Sarewitz, P.B. Stark, A. Stirling, P. van der Sluijs, Jeroen P. Vineis, Five ways to ensure that models serve society: a manifesto, Natur</w:t>
            </w:r>
            <w:r>
              <w:t xml:space="preserve">e 582 (2020) 482–484 is taken up in about 20 among blogs and journals including the Spanish El Periodico and the Italian Il </w:t>
            </w:r>
            <w:r w:rsidR="00333579">
              <w:t>Manifesto.</w:t>
            </w:r>
          </w:p>
          <w:p w14:paraId="08D2DC71" w14:textId="77777777" w:rsidR="00333579" w:rsidRDefault="00333579" w:rsidP="00333579">
            <w:pPr>
              <w:pStyle w:val="europass5fbulleted5flist"/>
              <w:numPr>
                <w:ilvl w:val="0"/>
                <w:numId w:val="2"/>
              </w:numPr>
            </w:pPr>
            <w:r>
              <w:t xml:space="preserve">2019, </w:t>
            </w:r>
            <w:r w:rsidRPr="00333579">
              <w:t>November</w:t>
            </w:r>
            <w:r>
              <w:t>, i</w:t>
            </w:r>
            <w:r w:rsidRPr="00333579">
              <w:t>nterview with the Spanish newspaper El Confidential: "Por qué PISA puede ser un peligro: “Su objetivo es que seamos intercambiables”"</w:t>
            </w:r>
            <w:r>
              <w:t xml:space="preserve">, November 29. </w:t>
            </w:r>
          </w:p>
          <w:p w14:paraId="0CA91218" w14:textId="7BD66DC3" w:rsidR="00961162" w:rsidRDefault="00333579" w:rsidP="00333579">
            <w:pPr>
              <w:pStyle w:val="europass5fbulleted5flist"/>
              <w:numPr>
                <w:ilvl w:val="0"/>
                <w:numId w:val="2"/>
              </w:numPr>
            </w:pPr>
            <w:r>
              <w:t>2019, September, invited closing keynote at the 2019 ENBIS conference in Budapest: Sensitivity analysis, an introduction, September 4th, 2019.</w:t>
            </w:r>
          </w:p>
          <w:p w14:paraId="0CF709F0" w14:textId="5DCDA6F5" w:rsidR="00333579" w:rsidRDefault="00333579" w:rsidP="00333579">
            <w:pPr>
              <w:pStyle w:val="europass5fbulleted5flist"/>
              <w:numPr>
                <w:ilvl w:val="0"/>
                <w:numId w:val="2"/>
              </w:numPr>
            </w:pPr>
            <w:r>
              <w:t>2018, November, Qui homologa el coneixement en la societat de la (des)informació? Dialogue between Andrea Saltelli and Bjorn Stensaker, at Palau Macaya, November 15, 2018.</w:t>
            </w:r>
          </w:p>
          <w:p w14:paraId="7C44FB59" w14:textId="564C4805" w:rsidR="00333579" w:rsidRDefault="00333579" w:rsidP="00333579">
            <w:pPr>
              <w:pStyle w:val="europass5fbulleted5flist"/>
              <w:numPr>
                <w:ilvl w:val="0"/>
                <w:numId w:val="2"/>
              </w:numPr>
            </w:pPr>
            <w:r>
              <w:t>2018, November, Keynote talk “Crisis? Surely you're joking”, Post Normal Science Symposium, Barcelona, UOC @ Tibidabo, November 15-17, 2018.</w:t>
            </w:r>
          </w:p>
          <w:p w14:paraId="6C3DDA95" w14:textId="45B94660" w:rsidR="00333579" w:rsidRDefault="00A275BB" w:rsidP="00333579">
            <w:pPr>
              <w:pStyle w:val="europass5fbulleted5flist"/>
              <w:numPr>
                <w:ilvl w:val="0"/>
                <w:numId w:val="2"/>
              </w:numPr>
            </w:pPr>
            <w:r>
              <w:t xml:space="preserve">2018, </w:t>
            </w:r>
            <w:r w:rsidR="00333579">
              <w:t>October</w:t>
            </w:r>
            <w:r>
              <w:t xml:space="preserve">, </w:t>
            </w:r>
            <w:r w:rsidR="00333579">
              <w:t>English translation of the piece from JON KÅRE TIME in Morgenbladet (published in Norwegian June 14, 2018): An interview to Andrea Saltelli and Daniele Fanelli on science's crisis</w:t>
            </w:r>
            <w:r>
              <w:t xml:space="preserve"> is published on UIB pages. </w:t>
            </w:r>
          </w:p>
          <w:p w14:paraId="6FCDB281" w14:textId="17986745" w:rsidR="00A275BB" w:rsidRDefault="00A275BB" w:rsidP="00A44CFA">
            <w:pPr>
              <w:pStyle w:val="europass5fbulleted5flist"/>
              <w:numPr>
                <w:ilvl w:val="0"/>
                <w:numId w:val="2"/>
              </w:numPr>
            </w:pPr>
            <w:r>
              <w:lastRenderedPageBreak/>
              <w:t>2018 July, twin keynote in Oxford, in tandem with Philip Mirowski: “Crisis? Surely you must be joking”, seminar Crisis, what crisis in Science?, Monday July 30, 2018, Institute for Science, Innovation and Society, Oxford University.</w:t>
            </w:r>
          </w:p>
          <w:p w14:paraId="6E031920" w14:textId="05E1A674" w:rsidR="00A275BB" w:rsidRDefault="00A275BB" w:rsidP="00A275BB">
            <w:pPr>
              <w:pStyle w:val="europass5fbulleted5flist"/>
              <w:numPr>
                <w:ilvl w:val="0"/>
                <w:numId w:val="2"/>
              </w:numPr>
            </w:pPr>
            <w:r>
              <w:t>2018, June, invited plenary talk at CERN Geneve, “Crisis? Surely you must be joking”, June</w:t>
            </w:r>
            <w:r w:rsidR="007E5C7C">
              <w:t xml:space="preserve"> 7.</w:t>
            </w:r>
          </w:p>
          <w:p w14:paraId="4CBE87F9" w14:textId="5E78EBDA" w:rsidR="00A275BB" w:rsidRDefault="007E5C7C" w:rsidP="00A275BB">
            <w:pPr>
              <w:pStyle w:val="europass5fbulleted5flist"/>
              <w:numPr>
                <w:ilvl w:val="0"/>
                <w:numId w:val="2"/>
              </w:numPr>
            </w:pPr>
            <w:r>
              <w:t xml:space="preserve">2018, May, </w:t>
            </w:r>
            <w:r w:rsidR="00A275BB">
              <w:t xml:space="preserve">the Sensitivity Analysis Primer </w:t>
            </w:r>
            <w:r>
              <w:t>translated by the Chinese Academy of Sciences is published</w:t>
            </w:r>
            <w:r w:rsidR="00A275BB">
              <w:t>.</w:t>
            </w:r>
          </w:p>
          <w:p w14:paraId="1A3FADFF" w14:textId="710911F3" w:rsidR="00430EBB" w:rsidRPr="0010435B" w:rsidRDefault="00430EBB" w:rsidP="00430EBB">
            <w:pPr>
              <w:pStyle w:val="europass5fbulleted5flist"/>
              <w:numPr>
                <w:ilvl w:val="0"/>
                <w:numId w:val="2"/>
              </w:numPr>
            </w:pPr>
            <w:r>
              <w:t xml:space="preserve">2017, </w:t>
            </w:r>
            <w:r w:rsidRPr="00430EBB">
              <w:t>June</w:t>
            </w:r>
            <w:r>
              <w:t>,</w:t>
            </w:r>
            <w:r w:rsidRPr="00430EBB">
              <w:t xml:space="preserve"> </w:t>
            </w:r>
            <w:r>
              <w:t>i</w:t>
            </w:r>
            <w:r w:rsidRPr="00430EBB">
              <w:t>nterview with the Social Observa</w:t>
            </w:r>
            <w:r>
              <w:t>to</w:t>
            </w:r>
            <w:r w:rsidRPr="00430EBB">
              <w:t xml:space="preserve">ry of La Caixa: </w:t>
            </w:r>
            <w:r>
              <w:t>“</w:t>
            </w:r>
            <w:r w:rsidRPr="00430EBB">
              <w:t>Science was never intended to be in the market, but today it’s a commodity</w:t>
            </w:r>
            <w:r>
              <w:t>”</w:t>
            </w:r>
            <w:r w:rsidRPr="00430EBB">
              <w:t>, also in Castillian and Catalan.</w:t>
            </w:r>
          </w:p>
          <w:p w14:paraId="5D682704" w14:textId="77777777" w:rsidR="00CC765A" w:rsidRDefault="00CC765A" w:rsidP="00CC765A">
            <w:pPr>
              <w:pStyle w:val="europass5fbulleted5flist"/>
              <w:numPr>
                <w:ilvl w:val="0"/>
                <w:numId w:val="2"/>
              </w:numPr>
            </w:pPr>
            <w:r w:rsidRPr="0010435B">
              <w:t>2017</w:t>
            </w:r>
            <w:r w:rsidRPr="0010435B">
              <w:tab/>
              <w:t>Award of Honorary JRC Fellow, a new JRC scientific profile to accompany the organization in its reflections on past and future of JRC</w:t>
            </w:r>
            <w:r w:rsidR="008A2407">
              <w:t>.</w:t>
            </w:r>
          </w:p>
          <w:p w14:paraId="0CAAE184" w14:textId="6615D546" w:rsidR="008A2407" w:rsidRDefault="008A2407" w:rsidP="008A2407">
            <w:pPr>
              <w:pStyle w:val="europass5fbulleted5flist"/>
              <w:numPr>
                <w:ilvl w:val="0"/>
                <w:numId w:val="2"/>
              </w:numPr>
            </w:pPr>
            <w:r>
              <w:t xml:space="preserve">2016, </w:t>
            </w:r>
            <w:r w:rsidRPr="008A2407">
              <w:t xml:space="preserve">December, </w:t>
            </w:r>
            <w:r>
              <w:t>invited k</w:t>
            </w:r>
            <w:r w:rsidRPr="008A2407">
              <w:t xml:space="preserve">eynote lecture: </w:t>
            </w:r>
            <w:r>
              <w:t>“</w:t>
            </w:r>
            <w:r w:rsidRPr="008A2407">
              <w:t>Knowledge challenges at the science-policy interface</w:t>
            </w:r>
            <w:r>
              <w:t>”</w:t>
            </w:r>
            <w:r w:rsidRPr="008A2407">
              <w:t>, European Environmental Agency, Copenhagen, Management Board Seminar, December 6, 2016</w:t>
            </w:r>
            <w:r>
              <w:t>.</w:t>
            </w:r>
          </w:p>
          <w:p w14:paraId="05A8DA98" w14:textId="560E56BC" w:rsidR="008A2407" w:rsidRDefault="008A2407" w:rsidP="008A2407">
            <w:pPr>
              <w:pStyle w:val="europass5fbulleted5flist"/>
              <w:numPr>
                <w:ilvl w:val="0"/>
                <w:numId w:val="2"/>
              </w:numPr>
            </w:pPr>
            <w:r>
              <w:t>2016, November, invited keynote lecture: “Present challenges in sensitivity analysis”,  SAMO 2016, La Reunion (FR), November 30th.</w:t>
            </w:r>
          </w:p>
          <w:p w14:paraId="5C191A64" w14:textId="442B5218" w:rsidR="008A2407" w:rsidRDefault="008A2407" w:rsidP="008A2407">
            <w:pPr>
              <w:pStyle w:val="europass5fbulleted5flist"/>
              <w:numPr>
                <w:ilvl w:val="0"/>
                <w:numId w:val="2"/>
              </w:numPr>
            </w:pPr>
            <w:r>
              <w:t>2016, November, I am appointed Professor 2 at the Centre for the Study of the Sciences and the Humanities (SVT), November 1</w:t>
            </w:r>
            <w:r w:rsidRPr="008A2407">
              <w:rPr>
                <w:vertAlign w:val="superscript"/>
              </w:rPr>
              <w:t>st</w:t>
            </w:r>
            <w:r>
              <w:t>.</w:t>
            </w:r>
          </w:p>
          <w:p w14:paraId="7CA85FF0" w14:textId="2E778DC1" w:rsidR="00BC65D9" w:rsidRDefault="00BC65D9" w:rsidP="00BC65D9">
            <w:pPr>
              <w:pStyle w:val="europass5fbulleted5flist"/>
              <w:numPr>
                <w:ilvl w:val="0"/>
                <w:numId w:val="2"/>
              </w:numPr>
            </w:pPr>
            <w:r>
              <w:t>2016, July, Piece published on The Guardian, Andrea Saltelli and Silvio Funtowicz, “Science cannot solve these problems alone because it helped to create them in the first place”, July 14.</w:t>
            </w:r>
          </w:p>
          <w:p w14:paraId="3B85E062" w14:textId="3CCB0927" w:rsidR="00BC65D9" w:rsidRDefault="00BC65D9" w:rsidP="00370A68">
            <w:pPr>
              <w:pStyle w:val="europass5fbulleted5flist"/>
              <w:numPr>
                <w:ilvl w:val="0"/>
                <w:numId w:val="2"/>
              </w:numPr>
            </w:pPr>
            <w:r>
              <w:t xml:space="preserve">2016 February, interview for Wiley's Statistics View magazine, February 22. </w:t>
            </w:r>
          </w:p>
          <w:p w14:paraId="513850D0" w14:textId="0DF62160" w:rsidR="00BC65D9" w:rsidRPr="00BC65D9" w:rsidRDefault="00BC65D9" w:rsidP="00BC65D9">
            <w:pPr>
              <w:pStyle w:val="europass5fbulleted5flist"/>
              <w:rPr>
                <w:b/>
              </w:rPr>
            </w:pPr>
            <w:r w:rsidRPr="00BC65D9">
              <w:rPr>
                <w:b/>
              </w:rPr>
              <w:t>OLDER EVENTS</w:t>
            </w:r>
          </w:p>
          <w:p w14:paraId="7FADA4A8" w14:textId="6275833B" w:rsidR="00CC765A" w:rsidRPr="0010435B" w:rsidRDefault="00CC765A" w:rsidP="00BC65D9">
            <w:pPr>
              <w:pStyle w:val="europass5fbulleted5flist"/>
              <w:numPr>
                <w:ilvl w:val="0"/>
                <w:numId w:val="2"/>
              </w:numPr>
            </w:pPr>
            <w:r w:rsidRPr="0010435B">
              <w:t xml:space="preserve">2014 Delivered the Commencement speech at the Department of Statistics, Berkeley </w:t>
            </w:r>
          </w:p>
          <w:p w14:paraId="4392C9ED" w14:textId="77777777" w:rsidR="00CC765A" w:rsidRPr="0010435B" w:rsidRDefault="00CC765A" w:rsidP="00CC765A">
            <w:pPr>
              <w:pStyle w:val="europass5fbulleted5flist"/>
              <w:numPr>
                <w:ilvl w:val="0"/>
                <w:numId w:val="2"/>
              </w:numPr>
            </w:pPr>
            <w:r w:rsidRPr="0010435B">
              <w:t xml:space="preserve">2006 </w:t>
            </w:r>
            <w:r w:rsidRPr="0010435B">
              <w:tab/>
              <w:t>JRC prize for best support activity to the European Commission</w:t>
            </w:r>
          </w:p>
          <w:p w14:paraId="71595D8A" w14:textId="3982BCD6" w:rsidR="00CC765A" w:rsidRPr="0010435B" w:rsidRDefault="00CC765A" w:rsidP="00CC765A">
            <w:pPr>
              <w:pStyle w:val="europass5fbulleted5flist"/>
              <w:numPr>
                <w:ilvl w:val="0"/>
                <w:numId w:val="2"/>
              </w:numPr>
            </w:pPr>
            <w:r w:rsidRPr="0010435B">
              <w:t xml:space="preserve">2005 </w:t>
            </w:r>
            <w:r w:rsidRPr="0010435B">
              <w:tab/>
              <w:t xml:space="preserve">JRC best paper award (with S. Tarantola, F. Campolongo and M. Ratto – </w:t>
            </w:r>
            <w:r w:rsidRPr="0010435B">
              <w:rPr>
                <w:i/>
                <w:iCs/>
              </w:rPr>
              <w:t>Sensitivity Analysis for Chemical Models</w:t>
            </w:r>
            <w:r w:rsidRPr="0010435B">
              <w:t xml:space="preserve"> </w:t>
            </w:r>
            <w:hyperlink r:id="rId14" w:history="1">
              <w:r w:rsidR="005967FD" w:rsidRPr="004253C8">
                <w:rPr>
                  <w:rStyle w:val="Hyperlink"/>
                </w:rPr>
                <w:t>http://pubs.acs.org/doi/abs/10.1021/cr040659d</w:t>
              </w:r>
            </w:hyperlink>
            <w:r w:rsidRPr="0010435B">
              <w:t>)</w:t>
            </w:r>
          </w:p>
          <w:p w14:paraId="0C666C2D" w14:textId="77777777" w:rsidR="00CC765A" w:rsidRPr="0010435B" w:rsidRDefault="00CC765A" w:rsidP="00CC765A">
            <w:pPr>
              <w:pStyle w:val="europass5fbulleted5flist"/>
              <w:numPr>
                <w:ilvl w:val="0"/>
                <w:numId w:val="2"/>
              </w:numPr>
            </w:pPr>
            <w:r w:rsidRPr="0010435B">
              <w:t>2002</w:t>
            </w:r>
            <w:r w:rsidRPr="0010435B">
              <w:tab/>
              <w:t>JRC-IPSC prize for best scientific performance (awarded to the best research unit of the research institute)</w:t>
            </w:r>
          </w:p>
          <w:p w14:paraId="5050A355" w14:textId="77777777" w:rsidR="00CC765A" w:rsidRPr="0010435B" w:rsidRDefault="00CC765A" w:rsidP="00CC765A">
            <w:pPr>
              <w:pStyle w:val="europass5fbulleted5flist"/>
              <w:numPr>
                <w:ilvl w:val="0"/>
                <w:numId w:val="2"/>
              </w:numPr>
            </w:pPr>
            <w:r w:rsidRPr="0010435B">
              <w:t>1990</w:t>
            </w:r>
            <w:r w:rsidRPr="0010435B">
              <w:tab/>
              <w:t>Visiting fellow at the Japanese Japan Atomic Energy Research Institute</w:t>
            </w:r>
          </w:p>
          <w:p w14:paraId="4096DB6E" w14:textId="77777777" w:rsidR="00CC765A" w:rsidRPr="0010435B" w:rsidRDefault="00CC765A" w:rsidP="00CC765A">
            <w:pPr>
              <w:pStyle w:val="europass5fbulleted5flist"/>
              <w:numPr>
                <w:ilvl w:val="0"/>
                <w:numId w:val="2"/>
              </w:numPr>
            </w:pPr>
            <w:r w:rsidRPr="0010435B">
              <w:t>1980</w:t>
            </w:r>
            <w:r w:rsidRPr="0010435B">
              <w:tab/>
              <w:t>E. Clementel prize of CNEN (Italian Nuclear Authority)</w:t>
            </w:r>
            <w:r w:rsidRPr="0010435B">
              <w:tab/>
            </w:r>
          </w:p>
          <w:p w14:paraId="766CE5D9" w14:textId="27A4C34B" w:rsidR="007A1CCC" w:rsidRPr="0010435B" w:rsidRDefault="00CC765A" w:rsidP="0010435B">
            <w:pPr>
              <w:pStyle w:val="europass5fbulleted5flist"/>
              <w:numPr>
                <w:ilvl w:val="0"/>
                <w:numId w:val="2"/>
              </w:numPr>
            </w:pPr>
            <w:r w:rsidRPr="0010435B">
              <w:t xml:space="preserve">1978 </w:t>
            </w:r>
            <w:r w:rsidRPr="0010435B">
              <w:tab/>
              <w:t xml:space="preserve">Giuseppe Stampacchia Prize, Roma La Sapienza University, Italy for </w:t>
            </w:r>
            <w:r w:rsidR="0010435B" w:rsidRPr="0010435B">
              <w:t>the best thesis</w:t>
            </w:r>
          </w:p>
        </w:tc>
      </w:tr>
      <w:tr w:rsidR="00CC765A" w:rsidRPr="0010435B" w14:paraId="34355C61" w14:textId="77777777">
        <w:trPr>
          <w:trHeight w:val="170"/>
        </w:trPr>
        <w:tc>
          <w:tcPr>
            <w:tcW w:w="2834" w:type="dxa"/>
            <w:shd w:val="clear" w:color="auto" w:fill="auto"/>
          </w:tcPr>
          <w:p w14:paraId="740C554C" w14:textId="4A164D90" w:rsidR="00CC765A" w:rsidRPr="007D08BC" w:rsidRDefault="00CC765A">
            <w:pPr>
              <w:pStyle w:val="ECVLeftDetails"/>
            </w:pPr>
          </w:p>
        </w:tc>
        <w:tc>
          <w:tcPr>
            <w:tcW w:w="7542" w:type="dxa"/>
            <w:shd w:val="clear" w:color="auto" w:fill="auto"/>
          </w:tcPr>
          <w:p w14:paraId="18313E72" w14:textId="77777777" w:rsidR="00CC765A" w:rsidRPr="0010435B" w:rsidRDefault="00CC765A" w:rsidP="002979AC">
            <w:pPr>
              <w:pStyle w:val="europass5fbulleted5flist"/>
              <w:ind w:left="216"/>
            </w:pPr>
          </w:p>
        </w:tc>
      </w:tr>
      <w:tr w:rsidR="00CC765A" w:rsidRPr="00071030" w14:paraId="0EED5462" w14:textId="77777777">
        <w:trPr>
          <w:trHeight w:val="170"/>
        </w:trPr>
        <w:tc>
          <w:tcPr>
            <w:tcW w:w="2834" w:type="dxa"/>
            <w:shd w:val="clear" w:color="auto" w:fill="auto"/>
          </w:tcPr>
          <w:p w14:paraId="3A95EA9C" w14:textId="5B675EB1" w:rsidR="00CC765A" w:rsidRDefault="002979AC">
            <w:pPr>
              <w:pStyle w:val="ECVLeftDetails"/>
            </w:pPr>
            <w:r>
              <w:t>Teaching Activities</w:t>
            </w:r>
          </w:p>
          <w:p w14:paraId="6622AD83" w14:textId="77777777" w:rsidR="00497D85" w:rsidRDefault="00497D85" w:rsidP="00497D85">
            <w:pPr>
              <w:pStyle w:val="ECVLeftDetails"/>
            </w:pPr>
            <w:r>
              <w:t>See for documentation</w:t>
            </w:r>
          </w:p>
          <w:p w14:paraId="7E25BB38" w14:textId="4C189541" w:rsidR="00497D85" w:rsidRPr="00497D85" w:rsidRDefault="00497D85" w:rsidP="00497D85">
            <w:pPr>
              <w:pStyle w:val="ECVLeftDetails"/>
              <w:rPr>
                <w:sz w:val="12"/>
                <w:szCs w:val="12"/>
              </w:rPr>
            </w:pPr>
            <w:r w:rsidRPr="00497D85">
              <w:rPr>
                <w:sz w:val="12"/>
                <w:szCs w:val="12"/>
              </w:rPr>
              <w:t>http://www.andreasaltelli.eu/presentations</w:t>
            </w:r>
          </w:p>
        </w:tc>
        <w:tc>
          <w:tcPr>
            <w:tcW w:w="7542" w:type="dxa"/>
            <w:shd w:val="clear" w:color="auto" w:fill="auto"/>
          </w:tcPr>
          <w:p w14:paraId="65748323" w14:textId="4D206F3E" w:rsidR="00CA3346" w:rsidRDefault="00CA3346" w:rsidP="002979AC">
            <w:pPr>
              <w:pStyle w:val="europass5fbulleted5flist"/>
              <w:numPr>
                <w:ilvl w:val="0"/>
                <w:numId w:val="2"/>
              </w:numPr>
            </w:pPr>
            <w:r>
              <w:t>2019</w:t>
            </w:r>
            <w:r w:rsidR="00904E3E">
              <w:t>-</w:t>
            </w:r>
            <w:r w:rsidR="00AC3311">
              <w:t>present</w:t>
            </w:r>
            <w:r>
              <w:t xml:space="preserve"> Ethics of Nanotechnology, University of Bergen, master level, about 30 h.  </w:t>
            </w:r>
          </w:p>
          <w:p w14:paraId="088C4636" w14:textId="5AC3D393" w:rsidR="002979AC" w:rsidRPr="002979AC" w:rsidRDefault="002979AC" w:rsidP="002979AC">
            <w:pPr>
              <w:pStyle w:val="europass5fbulleted5flist"/>
              <w:numPr>
                <w:ilvl w:val="0"/>
                <w:numId w:val="2"/>
              </w:numPr>
            </w:pPr>
            <w:r w:rsidRPr="002979AC">
              <w:t>2017–</w:t>
            </w:r>
            <w:r w:rsidR="008D422A">
              <w:t>p</w:t>
            </w:r>
            <w:r>
              <w:t xml:space="preserve">resent </w:t>
            </w:r>
            <w:r w:rsidRPr="002979AC">
              <w:t>Sustainability of Social-Ecological Systems: the Nexus between Water, Energy and Food (Module ‘Post-normal science’, Coursera online platform)</w:t>
            </w:r>
          </w:p>
          <w:p w14:paraId="086E4AA1" w14:textId="1021CE29" w:rsidR="002979AC" w:rsidRDefault="002979AC" w:rsidP="002979AC">
            <w:pPr>
              <w:pStyle w:val="europass5fbulleted5flist"/>
              <w:numPr>
                <w:ilvl w:val="0"/>
                <w:numId w:val="2"/>
              </w:numPr>
            </w:pPr>
            <w:r w:rsidRPr="002979AC">
              <w:t>2015–</w:t>
            </w:r>
            <w:r w:rsidR="00904E3E">
              <w:t>present</w:t>
            </w:r>
            <w:r w:rsidRPr="002979AC">
              <w:tab/>
              <w:t xml:space="preserve">Courses for the PhD programmes at the Universities of Bergen, </w:t>
            </w:r>
            <w:r w:rsidR="00904E3E">
              <w:t>…</w:t>
            </w:r>
          </w:p>
          <w:p w14:paraId="37EF2D26" w14:textId="57A57A3B" w:rsidR="00AC3311" w:rsidRDefault="00904E3E" w:rsidP="00AC3311">
            <w:pPr>
              <w:pStyle w:val="europass5fbulleted5flist"/>
              <w:numPr>
                <w:ilvl w:val="0"/>
                <w:numId w:val="2"/>
              </w:numPr>
            </w:pPr>
            <w:r>
              <w:t xml:space="preserve">2019-present </w:t>
            </w:r>
            <w:r w:rsidR="00AC3311">
              <w:t xml:space="preserve">Course on science’s integrity, </w:t>
            </w:r>
            <w:r w:rsidR="00AC3311" w:rsidRPr="00AC3311">
              <w:t>INPhINIT PhD</w:t>
            </w:r>
            <w:r w:rsidR="00AC3311">
              <w:t xml:space="preserve"> program of </w:t>
            </w:r>
            <w:r w:rsidR="00AC3311" w:rsidRPr="00AC3311">
              <w:t>CaixaForum</w:t>
            </w:r>
            <w:r w:rsidR="00AC3311">
              <w:t xml:space="preserve">. </w:t>
            </w:r>
          </w:p>
          <w:p w14:paraId="540B2F69" w14:textId="7EC2BA19" w:rsidR="00904E3E" w:rsidRPr="002979AC" w:rsidRDefault="008D422A" w:rsidP="00AC3311">
            <w:pPr>
              <w:pStyle w:val="europass5fbulleted5flist"/>
              <w:numPr>
                <w:ilvl w:val="0"/>
                <w:numId w:val="2"/>
              </w:numPr>
            </w:pPr>
            <w:r>
              <w:t>2017-present Syllabus ‘</w:t>
            </w:r>
            <w:r w:rsidR="00904E3E">
              <w:t>Numbers for policy</w:t>
            </w:r>
            <w:r>
              <w:t>’, given several times in Bergen and Barcelona in cooperation with colleagues of UIB.</w:t>
            </w:r>
            <w:r w:rsidR="00904E3E">
              <w:t xml:space="preserve"> </w:t>
            </w:r>
          </w:p>
          <w:p w14:paraId="0A31C122" w14:textId="77777777" w:rsidR="002979AC" w:rsidRPr="002979AC" w:rsidRDefault="002979AC" w:rsidP="002979AC">
            <w:pPr>
              <w:pStyle w:val="europass5fbulleted5flist"/>
              <w:numPr>
                <w:ilvl w:val="0"/>
                <w:numId w:val="2"/>
              </w:numPr>
            </w:pPr>
            <w:r w:rsidRPr="002979AC">
              <w:t>2009–2015</w:t>
            </w:r>
            <w:r w:rsidRPr="002979AC">
              <w:tab/>
              <w:t>Impact assessment courses for colleagues at the European Commission</w:t>
            </w:r>
          </w:p>
          <w:p w14:paraId="31CAE322" w14:textId="77777777" w:rsidR="002979AC" w:rsidRPr="002979AC" w:rsidRDefault="002979AC" w:rsidP="002979AC">
            <w:pPr>
              <w:pStyle w:val="europass5fbulleted5flist"/>
              <w:numPr>
                <w:ilvl w:val="0"/>
                <w:numId w:val="2"/>
              </w:numPr>
            </w:pPr>
            <w:r w:rsidRPr="002979AC">
              <w:t>1995–2017</w:t>
            </w:r>
            <w:r w:rsidRPr="002979AC">
              <w:tab/>
              <w:t>Approx. 30 summer schools on sensitivity analysis for international students, inclusive of sensitivity auditing, quantitative storytelling and ethics of quantification</w:t>
            </w:r>
          </w:p>
          <w:p w14:paraId="4F786884" w14:textId="77777777" w:rsidR="002979AC" w:rsidRPr="002979AC" w:rsidRDefault="002979AC" w:rsidP="002979AC">
            <w:pPr>
              <w:pStyle w:val="europass5fbulleted5flist"/>
              <w:numPr>
                <w:ilvl w:val="0"/>
                <w:numId w:val="2"/>
              </w:numPr>
            </w:pPr>
            <w:r w:rsidRPr="002979AC">
              <w:t>2005–2015</w:t>
            </w:r>
            <w:r w:rsidRPr="002979AC">
              <w:tab/>
              <w:t xml:space="preserve">Approx. 10 summer schools on composite indicators (where I taught the </w:t>
            </w:r>
            <w:r w:rsidRPr="002979AC">
              <w:lastRenderedPageBreak/>
              <w:t xml:space="preserve">content of the JRC-OECD handbook that I authored on the subject) </w:t>
            </w:r>
          </w:p>
          <w:p w14:paraId="594E6FA3" w14:textId="77777777" w:rsidR="002979AC" w:rsidRPr="002979AC" w:rsidRDefault="002979AC" w:rsidP="002979AC">
            <w:pPr>
              <w:pStyle w:val="europass5fbulleted5flist"/>
              <w:numPr>
                <w:ilvl w:val="0"/>
                <w:numId w:val="2"/>
              </w:numPr>
            </w:pPr>
            <w:r w:rsidRPr="002979AC">
              <w:t>2009–2015</w:t>
            </w:r>
            <w:r w:rsidRPr="002979AC">
              <w:tab/>
              <w:t>Sensitivity auditing courses twice a year for colleagues in the European Commission (part of a syllabus delivered by the EC Secretariat General)</w:t>
            </w:r>
          </w:p>
          <w:p w14:paraId="311D9855" w14:textId="77777777" w:rsidR="002979AC" w:rsidRPr="002979AC" w:rsidRDefault="002979AC" w:rsidP="002979AC">
            <w:pPr>
              <w:pStyle w:val="europass5fbulleted5flist"/>
              <w:numPr>
                <w:ilvl w:val="0"/>
                <w:numId w:val="2"/>
              </w:numPr>
            </w:pPr>
            <w:r w:rsidRPr="002979AC">
              <w:rPr>
                <w:bCs/>
              </w:rPr>
              <w:t>2007</w:t>
            </w:r>
            <w:r w:rsidRPr="002979AC">
              <w:t>–</w:t>
            </w:r>
            <w:r w:rsidRPr="002979AC">
              <w:rPr>
                <w:bCs/>
              </w:rPr>
              <w:t>2009</w:t>
            </w:r>
            <w:r w:rsidRPr="002979AC">
              <w:rPr>
                <w:bCs/>
              </w:rPr>
              <w:tab/>
              <w:t xml:space="preserve">Module on </w:t>
            </w:r>
            <w:r w:rsidRPr="002979AC">
              <w:t>“Sensitivity Analysis” in PhD Courses Statistics University Bicocca of</w:t>
            </w:r>
            <w:r>
              <w:t xml:space="preserve"> </w:t>
            </w:r>
            <w:r w:rsidRPr="002979AC">
              <w:t>Milan (I)</w:t>
            </w:r>
          </w:p>
          <w:p w14:paraId="5769BFBB" w14:textId="77777777" w:rsidR="00CC765A" w:rsidRPr="00CC765A" w:rsidRDefault="00CC765A" w:rsidP="002979AC">
            <w:pPr>
              <w:pStyle w:val="europass5fbulleted5flist"/>
              <w:ind w:left="216"/>
            </w:pPr>
          </w:p>
        </w:tc>
      </w:tr>
      <w:tr w:rsidR="002979AC" w:rsidRPr="00071030" w14:paraId="4FDED405" w14:textId="77777777">
        <w:trPr>
          <w:trHeight w:val="170"/>
        </w:trPr>
        <w:tc>
          <w:tcPr>
            <w:tcW w:w="2834" w:type="dxa"/>
            <w:shd w:val="clear" w:color="auto" w:fill="auto"/>
          </w:tcPr>
          <w:p w14:paraId="41CAF936" w14:textId="6DA3E2EB" w:rsidR="002979AC" w:rsidRPr="007D08BC" w:rsidRDefault="002979AC">
            <w:pPr>
              <w:pStyle w:val="ECVLeftDetails"/>
            </w:pPr>
            <w:r>
              <w:lastRenderedPageBreak/>
              <w:t xml:space="preserve">Organisation of Scientific meetings </w:t>
            </w:r>
          </w:p>
        </w:tc>
        <w:tc>
          <w:tcPr>
            <w:tcW w:w="7542" w:type="dxa"/>
            <w:shd w:val="clear" w:color="auto" w:fill="auto"/>
          </w:tcPr>
          <w:p w14:paraId="22C75CA5" w14:textId="77777777" w:rsidR="002979AC" w:rsidRPr="002979AC" w:rsidRDefault="002979AC" w:rsidP="002979AC">
            <w:pPr>
              <w:pStyle w:val="europass5fbulleted5flist"/>
            </w:pPr>
            <w:r w:rsidRPr="002979AC">
              <w:t>Key organiser and creator of the series: International Conferences on Sensitivity Analysis (attendance from about 60 to about 150 per meeting)</w:t>
            </w:r>
          </w:p>
          <w:p w14:paraId="4770DD70" w14:textId="5BA022E9" w:rsidR="00CA3346" w:rsidRDefault="00CA3346" w:rsidP="002979AC">
            <w:pPr>
              <w:pStyle w:val="europass5fbulleted5flist"/>
              <w:numPr>
                <w:ilvl w:val="0"/>
                <w:numId w:val="2"/>
              </w:numPr>
            </w:pPr>
            <w:r>
              <w:t>Barcelona 2019</w:t>
            </w:r>
          </w:p>
          <w:p w14:paraId="5539D91E" w14:textId="4C893987" w:rsidR="002979AC" w:rsidRPr="002979AC" w:rsidRDefault="00A13E26" w:rsidP="002979AC">
            <w:pPr>
              <w:pStyle w:val="europass5fbulleted5flist"/>
              <w:numPr>
                <w:ilvl w:val="0"/>
                <w:numId w:val="2"/>
              </w:numPr>
            </w:pPr>
            <w:hyperlink r:id="rId15" w:history="1">
              <w:r w:rsidR="002979AC" w:rsidRPr="002979AC">
                <w:t>Reunion Island</w:t>
              </w:r>
            </w:hyperlink>
            <w:r w:rsidR="002979AC" w:rsidRPr="002979AC">
              <w:t xml:space="preserve"> (November 1–4, 2016)</w:t>
            </w:r>
          </w:p>
          <w:p w14:paraId="274B3010" w14:textId="77777777" w:rsidR="002979AC" w:rsidRPr="002979AC" w:rsidRDefault="002979AC" w:rsidP="002979AC">
            <w:pPr>
              <w:pStyle w:val="europass5fbulleted5flist"/>
              <w:numPr>
                <w:ilvl w:val="0"/>
                <w:numId w:val="2"/>
              </w:numPr>
            </w:pPr>
            <w:r w:rsidRPr="002979AC">
              <w:t>Nice, France (July 1–4, 2013)</w:t>
            </w:r>
          </w:p>
          <w:p w14:paraId="0A7F9954" w14:textId="77777777" w:rsidR="002979AC" w:rsidRPr="002979AC" w:rsidRDefault="002979AC" w:rsidP="002979AC">
            <w:pPr>
              <w:pStyle w:val="europass5fbulleted5flist"/>
              <w:numPr>
                <w:ilvl w:val="0"/>
                <w:numId w:val="2"/>
              </w:numPr>
            </w:pPr>
            <w:r w:rsidRPr="002979AC">
              <w:t>Milan, Italy (July 19–22, 2010)</w:t>
            </w:r>
          </w:p>
          <w:p w14:paraId="5C29D1E1" w14:textId="77777777" w:rsidR="002979AC" w:rsidRPr="002979AC" w:rsidRDefault="002979AC" w:rsidP="002979AC">
            <w:pPr>
              <w:pStyle w:val="europass5fbulleted5flist"/>
              <w:numPr>
                <w:ilvl w:val="0"/>
                <w:numId w:val="2"/>
              </w:numPr>
            </w:pPr>
            <w:r w:rsidRPr="002979AC">
              <w:t>Budapest, Hungary (June 18–22, 2007)</w:t>
            </w:r>
          </w:p>
          <w:p w14:paraId="4B657E94" w14:textId="77777777" w:rsidR="002979AC" w:rsidRPr="002979AC" w:rsidRDefault="002979AC" w:rsidP="002979AC">
            <w:pPr>
              <w:pStyle w:val="europass5fbulleted5flist"/>
              <w:numPr>
                <w:ilvl w:val="0"/>
                <w:numId w:val="2"/>
              </w:numPr>
            </w:pPr>
            <w:r w:rsidRPr="002979AC">
              <w:t>Santa Fe, New Mexico, USA (March 8–11, 2004)</w:t>
            </w:r>
          </w:p>
          <w:p w14:paraId="0FB5C571" w14:textId="77777777" w:rsidR="002979AC" w:rsidRPr="002979AC" w:rsidRDefault="002979AC" w:rsidP="002979AC">
            <w:pPr>
              <w:pStyle w:val="europass5fbulleted5flist"/>
              <w:numPr>
                <w:ilvl w:val="0"/>
                <w:numId w:val="2"/>
              </w:numPr>
            </w:pPr>
            <w:r w:rsidRPr="002979AC">
              <w:t>Madrid, Spain (June 18–19, 2001)</w:t>
            </w:r>
          </w:p>
          <w:p w14:paraId="4B643314" w14:textId="77777777" w:rsidR="002979AC" w:rsidRPr="002979AC" w:rsidRDefault="002979AC" w:rsidP="002979AC">
            <w:pPr>
              <w:pStyle w:val="europass5fbulleted5flist"/>
              <w:numPr>
                <w:ilvl w:val="0"/>
                <w:numId w:val="2"/>
              </w:numPr>
            </w:pPr>
            <w:r w:rsidRPr="002979AC">
              <w:t>Venice, Italy (April 19–22, 1998)</w:t>
            </w:r>
          </w:p>
          <w:p w14:paraId="5E08547D" w14:textId="77777777" w:rsidR="002979AC" w:rsidRPr="002979AC" w:rsidRDefault="002979AC" w:rsidP="002979AC">
            <w:pPr>
              <w:pStyle w:val="europass5fbulleted5flist"/>
              <w:numPr>
                <w:ilvl w:val="0"/>
                <w:numId w:val="2"/>
              </w:numPr>
            </w:pPr>
            <w:r w:rsidRPr="002979AC">
              <w:t>Belgirate, Italy (September 25–27, 1995)</w:t>
            </w:r>
          </w:p>
          <w:p w14:paraId="418155A0" w14:textId="77777777" w:rsidR="002979AC" w:rsidRDefault="00904E3E" w:rsidP="002979AC">
            <w:pPr>
              <w:pStyle w:val="europass5fbulleted5flist"/>
            </w:pPr>
            <w:r>
              <w:t>Key organizer of the symposium on Ethics of Quantification, December 2019, University of Bergen</w:t>
            </w:r>
          </w:p>
          <w:p w14:paraId="009E3188" w14:textId="3B79BF4D" w:rsidR="0010435B" w:rsidRPr="00CC765A" w:rsidRDefault="0010435B" w:rsidP="002979AC">
            <w:pPr>
              <w:pStyle w:val="europass5fbulleted5flist"/>
            </w:pPr>
            <w:r>
              <w:t xml:space="preserve">Local organizer and member of the scientific committee for the fourth international symposium of Post-normal science, Barcelona, 2018. </w:t>
            </w:r>
          </w:p>
        </w:tc>
      </w:tr>
      <w:tr w:rsidR="002979AC" w:rsidRPr="00071030" w14:paraId="4700C29E" w14:textId="77777777">
        <w:trPr>
          <w:trHeight w:val="170"/>
        </w:trPr>
        <w:tc>
          <w:tcPr>
            <w:tcW w:w="2834" w:type="dxa"/>
            <w:shd w:val="clear" w:color="auto" w:fill="auto"/>
          </w:tcPr>
          <w:p w14:paraId="3278A4B3" w14:textId="77777777" w:rsidR="002979AC" w:rsidRPr="007D08BC" w:rsidRDefault="002979AC">
            <w:pPr>
              <w:pStyle w:val="ECVLeftDetails"/>
            </w:pPr>
            <w:r>
              <w:t>Institutional responsibilities</w:t>
            </w:r>
          </w:p>
        </w:tc>
        <w:tc>
          <w:tcPr>
            <w:tcW w:w="7542" w:type="dxa"/>
            <w:shd w:val="clear" w:color="auto" w:fill="auto"/>
          </w:tcPr>
          <w:p w14:paraId="59534702" w14:textId="77777777" w:rsidR="002979AC" w:rsidRPr="002979AC" w:rsidRDefault="002979AC" w:rsidP="002979AC">
            <w:pPr>
              <w:pStyle w:val="europass5fbulleted5flist"/>
              <w:numPr>
                <w:ilvl w:val="0"/>
                <w:numId w:val="2"/>
              </w:numPr>
            </w:pPr>
            <w:r w:rsidRPr="002979AC">
              <w:t>2005–2015</w:t>
            </w:r>
            <w:r w:rsidRPr="002979AC">
              <w:tab/>
              <w:t>Head of Unit in the European Commission Joint Research Centre (Econometrics and Applied Statistics)</w:t>
            </w:r>
          </w:p>
          <w:p w14:paraId="6AD80BB7" w14:textId="77777777" w:rsidR="002979AC" w:rsidRPr="002979AC" w:rsidRDefault="002979AC" w:rsidP="002979AC">
            <w:pPr>
              <w:pStyle w:val="europass5fbulleted5flist"/>
              <w:numPr>
                <w:ilvl w:val="0"/>
                <w:numId w:val="2"/>
              </w:numPr>
            </w:pPr>
            <w:r w:rsidRPr="002979AC">
              <w:t>1996–2005</w:t>
            </w:r>
            <w:r w:rsidRPr="002979AC">
              <w:tab/>
              <w:t xml:space="preserve">Head of Sector the European Commission Joint Research Centre (Sensitivity Analysis) </w:t>
            </w:r>
          </w:p>
          <w:p w14:paraId="7D464C36" w14:textId="77777777" w:rsidR="002979AC" w:rsidRPr="002979AC" w:rsidRDefault="002979AC" w:rsidP="002979AC">
            <w:pPr>
              <w:pStyle w:val="europass5fbulleted5flist"/>
              <w:numPr>
                <w:ilvl w:val="0"/>
                <w:numId w:val="2"/>
              </w:numPr>
            </w:pPr>
            <w:r w:rsidRPr="002979AC">
              <w:t>2002–2003</w:t>
            </w:r>
            <w:r w:rsidRPr="002979AC">
              <w:tab/>
              <w:t>Member of the Scientific Committee of the Institute for the Protection and Security of the Citizen (IPSC), JRC</w:t>
            </w:r>
          </w:p>
          <w:p w14:paraId="0CE6A0A4" w14:textId="77777777" w:rsidR="002979AC" w:rsidRPr="002979AC" w:rsidRDefault="002979AC" w:rsidP="002979AC">
            <w:pPr>
              <w:pStyle w:val="europass5fbulleted5flist"/>
              <w:numPr>
                <w:ilvl w:val="0"/>
                <w:numId w:val="2"/>
              </w:numPr>
            </w:pPr>
            <w:r w:rsidRPr="002979AC">
              <w:t>1994–1996</w:t>
            </w:r>
            <w:r w:rsidRPr="002979AC">
              <w:tab/>
              <w:t xml:space="preserve">Member of the Scientific Committee of the Environment Institute of JRC </w:t>
            </w:r>
          </w:p>
          <w:p w14:paraId="06AD7226" w14:textId="77777777" w:rsidR="002979AC" w:rsidRPr="00CC765A" w:rsidRDefault="002979AC" w:rsidP="002979AC">
            <w:pPr>
              <w:pStyle w:val="europass5fbulleted5flist"/>
            </w:pPr>
          </w:p>
        </w:tc>
      </w:tr>
      <w:tr w:rsidR="002979AC" w:rsidRPr="00071030" w14:paraId="5177E89B" w14:textId="77777777">
        <w:trPr>
          <w:trHeight w:val="170"/>
        </w:trPr>
        <w:tc>
          <w:tcPr>
            <w:tcW w:w="2834" w:type="dxa"/>
            <w:shd w:val="clear" w:color="auto" w:fill="auto"/>
          </w:tcPr>
          <w:p w14:paraId="033704B0" w14:textId="6E035EE7" w:rsidR="008E31AD" w:rsidRDefault="002979AC">
            <w:pPr>
              <w:pStyle w:val="ECVLeftDetails"/>
            </w:pPr>
            <w:r>
              <w:t>Commissions of trust</w:t>
            </w:r>
          </w:p>
          <w:p w14:paraId="4B2272F0" w14:textId="77777777" w:rsidR="008E31AD" w:rsidRPr="008E31AD" w:rsidRDefault="008E31AD" w:rsidP="008E31AD"/>
          <w:p w14:paraId="3749F318" w14:textId="77777777" w:rsidR="008E31AD" w:rsidRPr="008E31AD" w:rsidRDefault="008E31AD" w:rsidP="008E31AD"/>
          <w:p w14:paraId="2B6823B2" w14:textId="77777777" w:rsidR="008E31AD" w:rsidRPr="008E31AD" w:rsidRDefault="008E31AD" w:rsidP="008E31AD"/>
          <w:p w14:paraId="6A7E8995" w14:textId="77777777" w:rsidR="008E31AD" w:rsidRPr="008E31AD" w:rsidRDefault="008E31AD" w:rsidP="008E31AD"/>
          <w:p w14:paraId="752AA072" w14:textId="77777777" w:rsidR="008E31AD" w:rsidRPr="008E31AD" w:rsidRDefault="008E31AD" w:rsidP="008E31AD"/>
          <w:p w14:paraId="3F63A734" w14:textId="77777777" w:rsidR="008E31AD" w:rsidRPr="008E31AD" w:rsidRDefault="008E31AD" w:rsidP="008E31AD"/>
          <w:p w14:paraId="70506436" w14:textId="77777777" w:rsidR="008E31AD" w:rsidRPr="008E31AD" w:rsidRDefault="008E31AD" w:rsidP="008E31AD"/>
          <w:p w14:paraId="33EDDA2E" w14:textId="77777777" w:rsidR="008E31AD" w:rsidRPr="008E31AD" w:rsidRDefault="008E31AD" w:rsidP="008E31AD"/>
          <w:p w14:paraId="6525C38A" w14:textId="77777777" w:rsidR="008E31AD" w:rsidRPr="008E31AD" w:rsidRDefault="008E31AD" w:rsidP="008E31AD"/>
          <w:p w14:paraId="3C0C8557" w14:textId="77777777" w:rsidR="008E31AD" w:rsidRPr="008E31AD" w:rsidRDefault="008E31AD" w:rsidP="008E31AD"/>
          <w:p w14:paraId="0F86382F" w14:textId="77777777" w:rsidR="008E31AD" w:rsidRDefault="008E31AD" w:rsidP="008E31AD">
            <w:pPr>
              <w:pStyle w:val="ECVLeftDetails"/>
            </w:pPr>
          </w:p>
          <w:p w14:paraId="34605BA3" w14:textId="392D0784" w:rsidR="002979AC" w:rsidRPr="008E31AD" w:rsidRDefault="008E31AD" w:rsidP="008E31AD">
            <w:pPr>
              <w:pStyle w:val="ECVLeftDetails"/>
            </w:pPr>
            <w:r>
              <w:t xml:space="preserve">Grants and research </w:t>
            </w:r>
            <w:r>
              <w:br/>
              <w:t>projects led by applicant</w:t>
            </w:r>
          </w:p>
        </w:tc>
        <w:tc>
          <w:tcPr>
            <w:tcW w:w="7542" w:type="dxa"/>
            <w:shd w:val="clear" w:color="auto" w:fill="auto"/>
          </w:tcPr>
          <w:p w14:paraId="5730905F" w14:textId="254E8284" w:rsidR="00B73123" w:rsidRDefault="00B73123" w:rsidP="002979AC">
            <w:pPr>
              <w:pStyle w:val="europass5fbulleted5flist"/>
              <w:numPr>
                <w:ilvl w:val="0"/>
                <w:numId w:val="2"/>
              </w:numPr>
            </w:pPr>
            <w:r>
              <w:t xml:space="preserve">Associate editor for </w:t>
            </w:r>
            <w:r w:rsidR="0010435B">
              <w:t xml:space="preserve">a </w:t>
            </w:r>
            <w:r>
              <w:t>special issue on sensitivity analysis on Environmental Modelling and Software</w:t>
            </w:r>
          </w:p>
          <w:p w14:paraId="70BB8CE1" w14:textId="77777777" w:rsidR="002979AC" w:rsidRPr="002979AC" w:rsidRDefault="002979AC" w:rsidP="002979AC">
            <w:pPr>
              <w:pStyle w:val="europass5fbulleted5flist"/>
              <w:numPr>
                <w:ilvl w:val="0"/>
                <w:numId w:val="2"/>
              </w:numPr>
            </w:pPr>
            <w:r w:rsidRPr="002979AC">
              <w:t>Ex-Member of Editorial board for Reliability engineering and system safety, Elsevier</w:t>
            </w:r>
          </w:p>
          <w:p w14:paraId="661895BD" w14:textId="77777777" w:rsidR="002979AC" w:rsidRPr="002979AC" w:rsidRDefault="002979AC" w:rsidP="002979AC">
            <w:pPr>
              <w:pStyle w:val="europass5fbulleted5flist"/>
              <w:numPr>
                <w:ilvl w:val="0"/>
                <w:numId w:val="2"/>
              </w:numPr>
            </w:pPr>
            <w:r w:rsidRPr="002979AC">
              <w:t>Reviewer for several journals on sensitivity-analysis contributions</w:t>
            </w:r>
          </w:p>
          <w:p w14:paraId="58356A1F" w14:textId="77777777" w:rsidR="002979AC" w:rsidRPr="002979AC" w:rsidRDefault="002979AC" w:rsidP="002979AC">
            <w:pPr>
              <w:pStyle w:val="europass5fbulleted5flist"/>
              <w:numPr>
                <w:ilvl w:val="0"/>
                <w:numId w:val="2"/>
              </w:numPr>
            </w:pPr>
            <w:r w:rsidRPr="002979AC">
              <w:t>Member (once) and chair (once) of JRC selection panel for the creation of reserve list of potential JRC staff. Each panel run over two years of proceedings, and interviews and compilation.</w:t>
            </w:r>
          </w:p>
          <w:p w14:paraId="0BBB0787" w14:textId="77777777" w:rsidR="002979AC" w:rsidRDefault="002979AC" w:rsidP="002979AC">
            <w:pPr>
              <w:pStyle w:val="europass5fbulleted5flist"/>
            </w:pPr>
          </w:p>
          <w:p w14:paraId="72337A09" w14:textId="6A20239E" w:rsidR="008E31AD" w:rsidRDefault="008E31AD" w:rsidP="008E31AD">
            <w:pPr>
              <w:pStyle w:val="europass5fbulleted5flist"/>
            </w:pPr>
          </w:p>
          <w:p w14:paraId="143507C6" w14:textId="3BDDA1F5" w:rsidR="008E31AD" w:rsidRPr="00CC765A" w:rsidRDefault="008E31AD" w:rsidP="008E31AD">
            <w:pPr>
              <w:pStyle w:val="europass5fbulleted5flist"/>
            </w:pPr>
            <w:r>
              <w:t xml:space="preserve">In my career I led about twenty activities of “Competitive Support”. These are projects funded by a Commission service (e.g. employment or education of internal market) and executed by the JRC. At the time of leaving the JRC (2015) the average yearly turnover of these projects exceeded M€2. I was also responsible for several Framework Programme projects (funded by the European Commission – DG Research) in the fourth, fifth, sixth, and seventh framework programmes (on business cycle analysis, flash GDP estimates, innovation measurements, etc.). In 2016-2017 I worked on two procurements from the European Commission to work on an econometric analysis of a regional statistics databases and in </w:t>
            </w:r>
            <w:r>
              <w:lastRenderedPageBreak/>
              <w:t xml:space="preserve">2017-2018 I led a cooperative activity of support to the European Environment Agency in Copenhagen on techniques to manage uncertainties in environmental assessments.  </w:t>
            </w:r>
          </w:p>
        </w:tc>
      </w:tr>
      <w:tr w:rsidR="002979AC" w:rsidRPr="00071030" w14:paraId="64C66B34" w14:textId="77777777">
        <w:trPr>
          <w:trHeight w:val="170"/>
        </w:trPr>
        <w:tc>
          <w:tcPr>
            <w:tcW w:w="2834" w:type="dxa"/>
            <w:shd w:val="clear" w:color="auto" w:fill="auto"/>
          </w:tcPr>
          <w:p w14:paraId="6A087327" w14:textId="77777777" w:rsidR="002979AC" w:rsidRPr="007D08BC" w:rsidRDefault="002979AC">
            <w:pPr>
              <w:pStyle w:val="ECVLeftDetails"/>
            </w:pPr>
          </w:p>
        </w:tc>
        <w:tc>
          <w:tcPr>
            <w:tcW w:w="7542" w:type="dxa"/>
            <w:shd w:val="clear" w:color="auto" w:fill="auto"/>
          </w:tcPr>
          <w:p w14:paraId="7ECBA002" w14:textId="77777777" w:rsidR="002979AC" w:rsidRPr="00CC765A" w:rsidRDefault="002979AC" w:rsidP="00654162">
            <w:pPr>
              <w:pStyle w:val="europass5fbulleted5flist"/>
              <w:ind w:left="216"/>
            </w:pPr>
          </w:p>
        </w:tc>
      </w:tr>
      <w:tr w:rsidR="002979AC" w:rsidRPr="00071030" w14:paraId="57A47270" w14:textId="77777777">
        <w:trPr>
          <w:trHeight w:val="170"/>
        </w:trPr>
        <w:tc>
          <w:tcPr>
            <w:tcW w:w="2834" w:type="dxa"/>
            <w:shd w:val="clear" w:color="auto" w:fill="auto"/>
          </w:tcPr>
          <w:p w14:paraId="2B0B9B1C" w14:textId="579BC9E1" w:rsidR="002979AC" w:rsidRPr="007D08BC" w:rsidRDefault="002979AC" w:rsidP="00FE6240">
            <w:pPr>
              <w:pStyle w:val="ECVLeftDetails"/>
              <w:jc w:val="center"/>
            </w:pPr>
          </w:p>
        </w:tc>
        <w:tc>
          <w:tcPr>
            <w:tcW w:w="7542" w:type="dxa"/>
            <w:shd w:val="clear" w:color="auto" w:fill="auto"/>
          </w:tcPr>
          <w:p w14:paraId="4D107C24" w14:textId="77777777" w:rsidR="002979AC" w:rsidRDefault="002979AC" w:rsidP="00CE081B">
            <w:pPr>
              <w:pStyle w:val="ECVLeftDetails"/>
              <w:jc w:val="left"/>
            </w:pPr>
          </w:p>
          <w:p w14:paraId="0C774B98" w14:textId="77777777" w:rsidR="00CE081B" w:rsidRDefault="00CE081B" w:rsidP="00CE081B">
            <w:pPr>
              <w:pStyle w:val="ECVLeftDetails"/>
              <w:jc w:val="left"/>
            </w:pPr>
          </w:p>
          <w:p w14:paraId="0873A598" w14:textId="1CFE1EBA" w:rsidR="00CE081B" w:rsidRPr="00CC765A" w:rsidRDefault="00CE081B" w:rsidP="00CE081B">
            <w:pPr>
              <w:pStyle w:val="ECVLeftDetails"/>
              <w:jc w:val="left"/>
            </w:pPr>
          </w:p>
        </w:tc>
      </w:tr>
    </w:tbl>
    <w:p w14:paraId="5AC711B2" w14:textId="0C4782AA" w:rsidR="007A1CCC" w:rsidRPr="00071030" w:rsidRDefault="00FE6240" w:rsidP="00FE6240">
      <w:pPr>
        <w:pStyle w:val="ECVLeftDetails"/>
        <w:jc w:val="left"/>
      </w:pPr>
      <w:r>
        <w:t xml:space="preserve">                                    </w:t>
      </w:r>
    </w:p>
    <w:sectPr w:rsidR="007A1CCC" w:rsidRPr="00071030">
      <w:headerReference w:type="default" r:id="rId16"/>
      <w:footerReference w:type="even" r:id="rId17"/>
      <w:footerReference w:type="default" r:id="rId18"/>
      <w:pgSz w:w="11906" w:h="16838"/>
      <w:pgMar w:top="1927" w:right="680" w:bottom="1474" w:left="850" w:header="680"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F07F1A" w14:textId="77777777" w:rsidR="00A13E26" w:rsidRDefault="00A13E26">
      <w:r>
        <w:separator/>
      </w:r>
    </w:p>
  </w:endnote>
  <w:endnote w:type="continuationSeparator" w:id="0">
    <w:p w14:paraId="3535322E" w14:textId="77777777" w:rsidR="00A13E26" w:rsidRDefault="00A13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00"/>
    <w:family w:val="swiss"/>
    <w:pitch w:val="variable"/>
    <w:sig w:usb0="E10022FF" w:usb1="C000E47F" w:usb2="00000029" w:usb3="00000000" w:csb0="000001DF" w:csb1="00000000"/>
  </w:font>
  <w:font w:name="Times New Roman">
    <w:panose1 w:val="02020603050405020304"/>
    <w:charset w:val="00"/>
    <w:family w:val="roman"/>
    <w:pitch w:val="variable"/>
    <w:sig w:usb0="E0002AFF" w:usb1="C0007841" w:usb2="00000009" w:usb3="00000000" w:csb0="000001FF" w:csb1="00000000"/>
  </w:font>
  <w:font w:name="OpenSymbol">
    <w:altName w:val="Segoe UI Symbol"/>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MT">
    <w:altName w:val="Arial"/>
    <w:charset w:val="00"/>
    <w:family w:val="swiss"/>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C64A1" w14:textId="77777777" w:rsidR="007A1CCC" w:rsidRDefault="00F75630">
    <w:pPr>
      <w:pStyle w:val="Footer"/>
      <w:tabs>
        <w:tab w:val="clear" w:pos="10205"/>
        <w:tab w:val="left" w:pos="2835"/>
        <w:tab w:val="right" w:pos="10375"/>
      </w:tabs>
      <w:autoSpaceDE w:val="0"/>
    </w:pPr>
    <w:r w:rsidRPr="00F75630">
      <w:rPr>
        <w:rFonts w:ascii="ArialMT" w:eastAsia="ArialMT" w:hAnsi="ArialMT" w:cs="ArialMT"/>
        <w:color w:val="1593CB"/>
        <w:sz w:val="14"/>
        <w:szCs w:val="14"/>
      </w:rPr>
      <w:t>12/03/18</w:t>
    </w:r>
    <w:r w:rsidR="007A1CCC">
      <w:rPr>
        <w:rFonts w:ascii="ArialMT" w:eastAsia="ArialMT" w:hAnsi="ArialMT" w:cs="ArialMT"/>
        <w:color w:val="26B4EA"/>
        <w:sz w:val="14"/>
        <w:szCs w:val="14"/>
      </w:rPr>
      <w:tab/>
      <w:t xml:space="preserve"> </w:t>
    </w:r>
    <w:r w:rsidR="007A1CCC">
      <w:rPr>
        <w:rFonts w:ascii="ArialMT" w:eastAsia="ArialMT" w:hAnsi="ArialMT" w:cs="ArialMT"/>
        <w:color w:val="1593CB"/>
        <w:sz w:val="14"/>
        <w:szCs w:val="14"/>
      </w:rPr>
      <w:t>© European Union, 2002-2015 | http://europass.cedefop.europa.eu</w:t>
    </w:r>
    <w:r w:rsidR="007A1CCC">
      <w:rPr>
        <w:rFonts w:ascii="ArialMT" w:eastAsia="ArialMT" w:hAnsi="ArialMT" w:cs="ArialMT"/>
        <w:color w:val="1593CB"/>
        <w:sz w:val="14"/>
        <w:szCs w:val="14"/>
      </w:rPr>
      <w:tab/>
      <w:t xml:space="preserve">Page </w:t>
    </w:r>
    <w:r w:rsidR="007A1CCC">
      <w:rPr>
        <w:rFonts w:eastAsia="ArialMT" w:cs="ArialMT"/>
        <w:color w:val="1593CB"/>
        <w:sz w:val="14"/>
        <w:szCs w:val="14"/>
      </w:rPr>
      <w:fldChar w:fldCharType="begin"/>
    </w:r>
    <w:r w:rsidR="007A1CCC">
      <w:rPr>
        <w:rFonts w:eastAsia="ArialMT" w:cs="ArialMT"/>
        <w:color w:val="1593CB"/>
        <w:sz w:val="14"/>
        <w:szCs w:val="14"/>
      </w:rPr>
      <w:instrText xml:space="preserve"> PAGE </w:instrText>
    </w:r>
    <w:r w:rsidR="007A1CCC">
      <w:rPr>
        <w:rFonts w:eastAsia="ArialMT" w:cs="ArialMT"/>
        <w:color w:val="1593CB"/>
        <w:sz w:val="14"/>
        <w:szCs w:val="14"/>
      </w:rPr>
      <w:fldChar w:fldCharType="separate"/>
    </w:r>
    <w:r w:rsidR="00187CB2">
      <w:rPr>
        <w:rFonts w:eastAsia="ArialMT" w:cs="ArialMT"/>
        <w:noProof/>
        <w:color w:val="1593CB"/>
        <w:sz w:val="14"/>
        <w:szCs w:val="14"/>
      </w:rPr>
      <w:t>4</w:t>
    </w:r>
    <w:r w:rsidR="007A1CCC">
      <w:rPr>
        <w:rFonts w:eastAsia="ArialMT" w:cs="ArialMT"/>
        <w:color w:val="1593CB"/>
        <w:sz w:val="14"/>
        <w:szCs w:val="14"/>
      </w:rPr>
      <w:fldChar w:fldCharType="end"/>
    </w:r>
    <w:r w:rsidR="007A1CCC">
      <w:rPr>
        <w:rFonts w:ascii="ArialMT" w:eastAsia="ArialMT" w:hAnsi="ArialMT" w:cs="ArialMT"/>
        <w:color w:val="1593CB"/>
        <w:sz w:val="14"/>
        <w:szCs w:val="14"/>
      </w:rPr>
      <w:t xml:space="preserve"> / </w:t>
    </w:r>
    <w:r w:rsidR="007A1CCC">
      <w:rPr>
        <w:rFonts w:eastAsia="ArialMT" w:cs="ArialMT"/>
        <w:color w:val="1593CB"/>
        <w:sz w:val="14"/>
        <w:szCs w:val="14"/>
      </w:rPr>
      <w:fldChar w:fldCharType="begin"/>
    </w:r>
    <w:r w:rsidR="007A1CCC">
      <w:rPr>
        <w:rFonts w:eastAsia="ArialMT" w:cs="ArialMT"/>
        <w:color w:val="1593CB"/>
        <w:sz w:val="14"/>
        <w:szCs w:val="14"/>
      </w:rPr>
      <w:instrText xml:space="preserve"> NUMPAGES </w:instrText>
    </w:r>
    <w:r w:rsidR="007A1CCC">
      <w:rPr>
        <w:rFonts w:eastAsia="ArialMT" w:cs="ArialMT"/>
        <w:color w:val="1593CB"/>
        <w:sz w:val="14"/>
        <w:szCs w:val="14"/>
      </w:rPr>
      <w:fldChar w:fldCharType="separate"/>
    </w:r>
    <w:r w:rsidR="00187CB2">
      <w:rPr>
        <w:rFonts w:eastAsia="ArialMT" w:cs="ArialMT"/>
        <w:noProof/>
        <w:color w:val="1593CB"/>
        <w:sz w:val="14"/>
        <w:szCs w:val="14"/>
      </w:rPr>
      <w:t>5</w:t>
    </w:r>
    <w:r w:rsidR="007A1CCC">
      <w:rPr>
        <w:rFonts w:eastAsia="ArialMT" w:cs="ArialMT"/>
        <w:color w:val="1593CB"/>
        <w:sz w:val="14"/>
        <w:szCs w:val="14"/>
      </w:rPr>
      <w:fldChar w:fldCharType="end"/>
    </w:r>
    <w:r w:rsidR="007A1CCC">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E757C" w14:textId="77777777" w:rsidR="007A1CCC" w:rsidRDefault="00F75630">
    <w:pPr>
      <w:pStyle w:val="Footer"/>
      <w:tabs>
        <w:tab w:val="clear" w:pos="10205"/>
        <w:tab w:val="left" w:pos="2835"/>
        <w:tab w:val="right" w:pos="10375"/>
      </w:tabs>
      <w:autoSpaceDE w:val="0"/>
    </w:pPr>
    <w:r w:rsidRPr="00F75630">
      <w:rPr>
        <w:rFonts w:ascii="ArialMT" w:eastAsia="ArialMT" w:hAnsi="ArialMT" w:cs="ArialMT"/>
        <w:color w:val="1593CB"/>
        <w:sz w:val="14"/>
        <w:szCs w:val="14"/>
      </w:rPr>
      <w:t>12/03/18</w:t>
    </w:r>
    <w:r w:rsidR="007A1CCC">
      <w:rPr>
        <w:rFonts w:ascii="ArialMT" w:eastAsia="ArialMT" w:hAnsi="ArialMT" w:cs="ArialMT"/>
        <w:color w:val="26B4EA"/>
        <w:sz w:val="14"/>
        <w:szCs w:val="14"/>
      </w:rPr>
      <w:tab/>
      <w:t xml:space="preserve"> </w:t>
    </w:r>
    <w:r w:rsidR="007A1CCC">
      <w:rPr>
        <w:rFonts w:ascii="ArialMT" w:eastAsia="ArialMT" w:hAnsi="ArialMT" w:cs="ArialMT"/>
        <w:color w:val="1593CB"/>
        <w:sz w:val="14"/>
        <w:szCs w:val="14"/>
      </w:rPr>
      <w:t>© European Union, 2002-2015 | http://europass.cedefop.europa.eu</w:t>
    </w:r>
    <w:r w:rsidR="007A1CCC">
      <w:rPr>
        <w:rFonts w:ascii="ArialMT" w:eastAsia="ArialMT" w:hAnsi="ArialMT" w:cs="ArialMT"/>
        <w:color w:val="1593CB"/>
        <w:sz w:val="14"/>
        <w:szCs w:val="14"/>
      </w:rPr>
      <w:tab/>
      <w:t xml:space="preserve">Page </w:t>
    </w:r>
    <w:r w:rsidR="007A1CCC">
      <w:rPr>
        <w:rFonts w:eastAsia="ArialMT" w:cs="ArialMT"/>
        <w:color w:val="1593CB"/>
        <w:sz w:val="14"/>
        <w:szCs w:val="14"/>
      </w:rPr>
      <w:fldChar w:fldCharType="begin"/>
    </w:r>
    <w:r w:rsidR="007A1CCC">
      <w:rPr>
        <w:rFonts w:eastAsia="ArialMT" w:cs="ArialMT"/>
        <w:color w:val="1593CB"/>
        <w:sz w:val="14"/>
        <w:szCs w:val="14"/>
      </w:rPr>
      <w:instrText xml:space="preserve"> PAGE </w:instrText>
    </w:r>
    <w:r w:rsidR="007A1CCC">
      <w:rPr>
        <w:rFonts w:eastAsia="ArialMT" w:cs="ArialMT"/>
        <w:color w:val="1593CB"/>
        <w:sz w:val="14"/>
        <w:szCs w:val="14"/>
      </w:rPr>
      <w:fldChar w:fldCharType="separate"/>
    </w:r>
    <w:r w:rsidR="00187CB2">
      <w:rPr>
        <w:rFonts w:eastAsia="ArialMT" w:cs="ArialMT"/>
        <w:noProof/>
        <w:color w:val="1593CB"/>
        <w:sz w:val="14"/>
        <w:szCs w:val="14"/>
      </w:rPr>
      <w:t>1</w:t>
    </w:r>
    <w:r w:rsidR="007A1CCC">
      <w:rPr>
        <w:rFonts w:eastAsia="ArialMT" w:cs="ArialMT"/>
        <w:color w:val="1593CB"/>
        <w:sz w:val="14"/>
        <w:szCs w:val="14"/>
      </w:rPr>
      <w:fldChar w:fldCharType="end"/>
    </w:r>
    <w:r w:rsidR="007A1CCC">
      <w:rPr>
        <w:rFonts w:ascii="ArialMT" w:eastAsia="ArialMT" w:hAnsi="ArialMT" w:cs="ArialMT"/>
        <w:color w:val="1593CB"/>
        <w:sz w:val="14"/>
        <w:szCs w:val="14"/>
      </w:rPr>
      <w:t xml:space="preserve"> / </w:t>
    </w:r>
    <w:r w:rsidR="007A1CCC">
      <w:rPr>
        <w:rFonts w:eastAsia="ArialMT" w:cs="ArialMT"/>
        <w:color w:val="1593CB"/>
        <w:sz w:val="14"/>
        <w:szCs w:val="14"/>
      </w:rPr>
      <w:fldChar w:fldCharType="begin"/>
    </w:r>
    <w:r w:rsidR="007A1CCC">
      <w:rPr>
        <w:rFonts w:eastAsia="ArialMT" w:cs="ArialMT"/>
        <w:color w:val="1593CB"/>
        <w:sz w:val="14"/>
        <w:szCs w:val="14"/>
      </w:rPr>
      <w:instrText xml:space="preserve"> NUMPAGES </w:instrText>
    </w:r>
    <w:r w:rsidR="007A1CCC">
      <w:rPr>
        <w:rFonts w:eastAsia="ArialMT" w:cs="ArialMT"/>
        <w:color w:val="1593CB"/>
        <w:sz w:val="14"/>
        <w:szCs w:val="14"/>
      </w:rPr>
      <w:fldChar w:fldCharType="separate"/>
    </w:r>
    <w:r w:rsidR="00187CB2">
      <w:rPr>
        <w:rFonts w:eastAsia="ArialMT" w:cs="ArialMT"/>
        <w:noProof/>
        <w:color w:val="1593CB"/>
        <w:sz w:val="14"/>
        <w:szCs w:val="14"/>
      </w:rPr>
      <w:t>5</w:t>
    </w:r>
    <w:r w:rsidR="007A1CCC">
      <w:rPr>
        <w:rFonts w:eastAsia="ArialMT" w:cs="ArialMT"/>
        <w:color w:val="1593CB"/>
        <w:sz w:val="14"/>
        <w:szCs w:val="14"/>
      </w:rPr>
      <w:fldChar w:fldCharType="end"/>
    </w:r>
    <w:r w:rsidR="007A1CCC">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71F1EF" w14:textId="77777777" w:rsidR="00A13E26" w:rsidRDefault="00A13E26">
      <w:r>
        <w:separator/>
      </w:r>
    </w:p>
  </w:footnote>
  <w:footnote w:type="continuationSeparator" w:id="0">
    <w:p w14:paraId="5C2E1E06" w14:textId="77777777" w:rsidR="00A13E26" w:rsidRDefault="00A13E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D8E0E" w14:textId="77777777" w:rsidR="007A1CCC" w:rsidRDefault="006A30DD">
    <w:pPr>
      <w:pStyle w:val="ECVFirstPageParagraph"/>
      <w:spacing w:before="329"/>
    </w:pPr>
    <w:r>
      <w:rPr>
        <w:noProof/>
      </w:rPr>
      <w:drawing>
        <wp:anchor distT="0" distB="0" distL="0" distR="0" simplePos="0" relativeHeight="251657728" behindDoc="0" locked="0" layoutInCell="1" allowOverlap="1" wp14:anchorId="3B91FDB8" wp14:editId="6ABF4EC9">
          <wp:simplePos x="0" y="0"/>
          <wp:positionH relativeFrom="column">
            <wp:posOffset>0</wp:posOffset>
          </wp:positionH>
          <wp:positionV relativeFrom="paragraph">
            <wp:posOffset>0</wp:posOffset>
          </wp:positionV>
          <wp:extent cx="1616075" cy="463550"/>
          <wp:effectExtent l="0" t="0" r="0" b="0"/>
          <wp:wrapSquare wrapText="bothSides"/>
          <wp:docPr id="1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4635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7A1CCC">
      <w:t xml:space="preserve"> </w:t>
    </w:r>
    <w:r w:rsidR="007A1CCC">
      <w:tab/>
      <w:t>Curriculum vitae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216"/>
        </w:tabs>
        <w:ind w:left="216" w:hanging="216"/>
      </w:pPr>
      <w:rPr>
        <w:rFonts w:ascii="Segoe UI" w:hAnsi="Segoe UI" w:cs="OpenSymbol"/>
      </w:rPr>
    </w:lvl>
    <w:lvl w:ilvl="1">
      <w:start w:val="1"/>
      <w:numFmt w:val="bullet"/>
      <w:lvlText w:val="▫"/>
      <w:lvlJc w:val="left"/>
      <w:pPr>
        <w:tabs>
          <w:tab w:val="num" w:pos="432"/>
        </w:tabs>
        <w:ind w:left="432" w:hanging="216"/>
      </w:pPr>
      <w:rPr>
        <w:rFonts w:ascii="Segoe UI" w:hAnsi="Segoe UI" w:cs="OpenSymbol"/>
      </w:rPr>
    </w:lvl>
    <w:lvl w:ilvl="2">
      <w:start w:val="1"/>
      <w:numFmt w:val="bullet"/>
      <w:lvlText w:val="▪"/>
      <w:lvlJc w:val="left"/>
      <w:pPr>
        <w:tabs>
          <w:tab w:val="num" w:pos="648"/>
        </w:tabs>
        <w:ind w:left="648" w:hanging="216"/>
      </w:pPr>
      <w:rPr>
        <w:rFonts w:ascii="Segoe UI" w:hAnsi="Segoe UI" w:cs="OpenSymbol"/>
      </w:rPr>
    </w:lvl>
    <w:lvl w:ilvl="3">
      <w:start w:val="1"/>
      <w:numFmt w:val="bullet"/>
      <w:lvlText w:val="▫"/>
      <w:lvlJc w:val="left"/>
      <w:pPr>
        <w:tabs>
          <w:tab w:val="num" w:pos="864"/>
        </w:tabs>
        <w:ind w:left="864" w:hanging="216"/>
      </w:pPr>
      <w:rPr>
        <w:rFonts w:ascii="Segoe UI" w:hAnsi="Segoe UI" w:cs="OpenSymbol"/>
      </w:rPr>
    </w:lvl>
    <w:lvl w:ilvl="4">
      <w:start w:val="1"/>
      <w:numFmt w:val="bullet"/>
      <w:lvlText w:val="▪"/>
      <w:lvlJc w:val="left"/>
      <w:pPr>
        <w:tabs>
          <w:tab w:val="num" w:pos="1080"/>
        </w:tabs>
        <w:ind w:left="1080" w:hanging="216"/>
      </w:pPr>
      <w:rPr>
        <w:rFonts w:ascii="Segoe UI" w:hAnsi="Segoe UI" w:cs="OpenSymbol"/>
      </w:rPr>
    </w:lvl>
    <w:lvl w:ilvl="5">
      <w:start w:val="1"/>
      <w:numFmt w:val="bullet"/>
      <w:lvlText w:val="▫"/>
      <w:lvlJc w:val="left"/>
      <w:pPr>
        <w:tabs>
          <w:tab w:val="num" w:pos="1296"/>
        </w:tabs>
        <w:ind w:left="1296" w:hanging="216"/>
      </w:pPr>
      <w:rPr>
        <w:rFonts w:ascii="Segoe UI" w:hAnsi="Segoe UI" w:cs="OpenSymbol"/>
      </w:rPr>
    </w:lvl>
    <w:lvl w:ilvl="6">
      <w:start w:val="1"/>
      <w:numFmt w:val="bullet"/>
      <w:lvlText w:val="▪"/>
      <w:lvlJc w:val="left"/>
      <w:pPr>
        <w:tabs>
          <w:tab w:val="num" w:pos="1512"/>
        </w:tabs>
        <w:ind w:left="1512" w:hanging="216"/>
      </w:pPr>
      <w:rPr>
        <w:rFonts w:ascii="Segoe UI" w:hAnsi="Segoe UI" w:cs="OpenSymbol"/>
      </w:rPr>
    </w:lvl>
    <w:lvl w:ilvl="7">
      <w:start w:val="1"/>
      <w:numFmt w:val="bullet"/>
      <w:lvlText w:val="▫"/>
      <w:lvlJc w:val="left"/>
      <w:pPr>
        <w:tabs>
          <w:tab w:val="num" w:pos="1728"/>
        </w:tabs>
        <w:ind w:left="1728" w:hanging="216"/>
      </w:pPr>
      <w:rPr>
        <w:rFonts w:ascii="Segoe UI" w:hAnsi="Segoe UI" w:cs="OpenSymbol"/>
      </w:rPr>
    </w:lvl>
    <w:lvl w:ilvl="8">
      <w:start w:val="1"/>
      <w:numFmt w:val="bullet"/>
      <w:lvlText w:val="▪"/>
      <w:lvlJc w:val="left"/>
      <w:pPr>
        <w:tabs>
          <w:tab w:val="num" w:pos="1944"/>
        </w:tabs>
        <w:ind w:left="1944" w:hanging="216"/>
      </w:pPr>
      <w:rPr>
        <w:rFonts w:ascii="Segoe UI" w:hAnsi="Segoe UI" w:cs="OpenSymbol"/>
      </w:rPr>
    </w:lvl>
  </w:abstractNum>
  <w:abstractNum w:abstractNumId="2" w15:restartNumberingAfterBreak="0">
    <w:nsid w:val="08F71D94"/>
    <w:multiLevelType w:val="hybridMultilevel"/>
    <w:tmpl w:val="299457B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FE76CA"/>
    <w:multiLevelType w:val="hybridMultilevel"/>
    <w:tmpl w:val="F9782F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C770B"/>
    <w:multiLevelType w:val="hybridMultilevel"/>
    <w:tmpl w:val="A91E73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807" w:hanging="360"/>
      </w:pPr>
      <w:rPr>
        <w:rFonts w:ascii="Courier New" w:hAnsi="Courier New" w:hint="default"/>
      </w:rPr>
    </w:lvl>
    <w:lvl w:ilvl="2" w:tplc="08090005" w:tentative="1">
      <w:start w:val="1"/>
      <w:numFmt w:val="bullet"/>
      <w:lvlText w:val=""/>
      <w:lvlJc w:val="left"/>
      <w:pPr>
        <w:ind w:left="1527" w:hanging="360"/>
      </w:pPr>
      <w:rPr>
        <w:rFonts w:ascii="Wingdings" w:hAnsi="Wingdings" w:hint="default"/>
      </w:rPr>
    </w:lvl>
    <w:lvl w:ilvl="3" w:tplc="08090001" w:tentative="1">
      <w:start w:val="1"/>
      <w:numFmt w:val="bullet"/>
      <w:lvlText w:val=""/>
      <w:lvlJc w:val="left"/>
      <w:pPr>
        <w:ind w:left="2247" w:hanging="360"/>
      </w:pPr>
      <w:rPr>
        <w:rFonts w:ascii="Symbol" w:hAnsi="Symbol" w:hint="default"/>
      </w:rPr>
    </w:lvl>
    <w:lvl w:ilvl="4" w:tplc="08090003" w:tentative="1">
      <w:start w:val="1"/>
      <w:numFmt w:val="bullet"/>
      <w:lvlText w:val="o"/>
      <w:lvlJc w:val="left"/>
      <w:pPr>
        <w:ind w:left="2967" w:hanging="360"/>
      </w:pPr>
      <w:rPr>
        <w:rFonts w:ascii="Courier New" w:hAnsi="Courier New" w:hint="default"/>
      </w:rPr>
    </w:lvl>
    <w:lvl w:ilvl="5" w:tplc="08090005" w:tentative="1">
      <w:start w:val="1"/>
      <w:numFmt w:val="bullet"/>
      <w:lvlText w:val=""/>
      <w:lvlJc w:val="left"/>
      <w:pPr>
        <w:ind w:left="3687" w:hanging="360"/>
      </w:pPr>
      <w:rPr>
        <w:rFonts w:ascii="Wingdings" w:hAnsi="Wingdings" w:hint="default"/>
      </w:rPr>
    </w:lvl>
    <w:lvl w:ilvl="6" w:tplc="08090001" w:tentative="1">
      <w:start w:val="1"/>
      <w:numFmt w:val="bullet"/>
      <w:lvlText w:val=""/>
      <w:lvlJc w:val="left"/>
      <w:pPr>
        <w:ind w:left="4407" w:hanging="360"/>
      </w:pPr>
      <w:rPr>
        <w:rFonts w:ascii="Symbol" w:hAnsi="Symbol" w:hint="default"/>
      </w:rPr>
    </w:lvl>
    <w:lvl w:ilvl="7" w:tplc="08090003" w:tentative="1">
      <w:start w:val="1"/>
      <w:numFmt w:val="bullet"/>
      <w:lvlText w:val="o"/>
      <w:lvlJc w:val="left"/>
      <w:pPr>
        <w:ind w:left="5127" w:hanging="360"/>
      </w:pPr>
      <w:rPr>
        <w:rFonts w:ascii="Courier New" w:hAnsi="Courier New" w:hint="default"/>
      </w:rPr>
    </w:lvl>
    <w:lvl w:ilvl="8" w:tplc="08090005" w:tentative="1">
      <w:start w:val="1"/>
      <w:numFmt w:val="bullet"/>
      <w:lvlText w:val=""/>
      <w:lvlJc w:val="left"/>
      <w:pPr>
        <w:ind w:left="5847" w:hanging="360"/>
      </w:pPr>
      <w:rPr>
        <w:rFonts w:ascii="Wingdings" w:hAnsi="Wingdings" w:hint="default"/>
      </w:rPr>
    </w:lvl>
  </w:abstractNum>
  <w:abstractNum w:abstractNumId="5" w15:restartNumberingAfterBreak="0">
    <w:nsid w:val="1ABD7499"/>
    <w:multiLevelType w:val="hybridMultilevel"/>
    <w:tmpl w:val="797CF6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7963D7"/>
    <w:multiLevelType w:val="hybridMultilevel"/>
    <w:tmpl w:val="D436C6A6"/>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807" w:hanging="360"/>
      </w:pPr>
      <w:rPr>
        <w:rFonts w:ascii="Courier New" w:hAnsi="Courier New" w:hint="default"/>
      </w:rPr>
    </w:lvl>
    <w:lvl w:ilvl="2" w:tplc="08090005" w:tentative="1">
      <w:start w:val="1"/>
      <w:numFmt w:val="bullet"/>
      <w:lvlText w:val=""/>
      <w:lvlJc w:val="left"/>
      <w:pPr>
        <w:ind w:left="1527" w:hanging="360"/>
      </w:pPr>
      <w:rPr>
        <w:rFonts w:ascii="Wingdings" w:hAnsi="Wingdings" w:hint="default"/>
      </w:rPr>
    </w:lvl>
    <w:lvl w:ilvl="3" w:tplc="08090001" w:tentative="1">
      <w:start w:val="1"/>
      <w:numFmt w:val="bullet"/>
      <w:lvlText w:val=""/>
      <w:lvlJc w:val="left"/>
      <w:pPr>
        <w:ind w:left="2247" w:hanging="360"/>
      </w:pPr>
      <w:rPr>
        <w:rFonts w:ascii="Symbol" w:hAnsi="Symbol" w:hint="default"/>
      </w:rPr>
    </w:lvl>
    <w:lvl w:ilvl="4" w:tplc="08090003" w:tentative="1">
      <w:start w:val="1"/>
      <w:numFmt w:val="bullet"/>
      <w:lvlText w:val="o"/>
      <w:lvlJc w:val="left"/>
      <w:pPr>
        <w:ind w:left="2967" w:hanging="360"/>
      </w:pPr>
      <w:rPr>
        <w:rFonts w:ascii="Courier New" w:hAnsi="Courier New" w:hint="default"/>
      </w:rPr>
    </w:lvl>
    <w:lvl w:ilvl="5" w:tplc="08090005" w:tentative="1">
      <w:start w:val="1"/>
      <w:numFmt w:val="bullet"/>
      <w:lvlText w:val=""/>
      <w:lvlJc w:val="left"/>
      <w:pPr>
        <w:ind w:left="3687" w:hanging="360"/>
      </w:pPr>
      <w:rPr>
        <w:rFonts w:ascii="Wingdings" w:hAnsi="Wingdings" w:hint="default"/>
      </w:rPr>
    </w:lvl>
    <w:lvl w:ilvl="6" w:tplc="08090001" w:tentative="1">
      <w:start w:val="1"/>
      <w:numFmt w:val="bullet"/>
      <w:lvlText w:val=""/>
      <w:lvlJc w:val="left"/>
      <w:pPr>
        <w:ind w:left="4407" w:hanging="360"/>
      </w:pPr>
      <w:rPr>
        <w:rFonts w:ascii="Symbol" w:hAnsi="Symbol" w:hint="default"/>
      </w:rPr>
    </w:lvl>
    <w:lvl w:ilvl="7" w:tplc="08090003" w:tentative="1">
      <w:start w:val="1"/>
      <w:numFmt w:val="bullet"/>
      <w:lvlText w:val="o"/>
      <w:lvlJc w:val="left"/>
      <w:pPr>
        <w:ind w:left="5127" w:hanging="360"/>
      </w:pPr>
      <w:rPr>
        <w:rFonts w:ascii="Courier New" w:hAnsi="Courier New" w:hint="default"/>
      </w:rPr>
    </w:lvl>
    <w:lvl w:ilvl="8" w:tplc="08090005" w:tentative="1">
      <w:start w:val="1"/>
      <w:numFmt w:val="bullet"/>
      <w:lvlText w:val=""/>
      <w:lvlJc w:val="left"/>
      <w:pPr>
        <w:ind w:left="5847" w:hanging="360"/>
      </w:pPr>
      <w:rPr>
        <w:rFonts w:ascii="Wingdings" w:hAnsi="Wingdings" w:hint="default"/>
      </w:rPr>
    </w:lvl>
  </w:abstractNum>
  <w:abstractNum w:abstractNumId="7" w15:restartNumberingAfterBreak="0">
    <w:nsid w:val="46D93B14"/>
    <w:multiLevelType w:val="hybridMultilevel"/>
    <w:tmpl w:val="707CE388"/>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3"/>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displayBackgroundShape/>
  <w:embedSystemFonts/>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2E2"/>
    <w:rsid w:val="000124E9"/>
    <w:rsid w:val="00015EA4"/>
    <w:rsid w:val="00071030"/>
    <w:rsid w:val="000D2532"/>
    <w:rsid w:val="0010435B"/>
    <w:rsid w:val="0012505B"/>
    <w:rsid w:val="00153F70"/>
    <w:rsid w:val="00187CB2"/>
    <w:rsid w:val="00196ECC"/>
    <w:rsid w:val="001C4B38"/>
    <w:rsid w:val="001C7EC5"/>
    <w:rsid w:val="00295A15"/>
    <w:rsid w:val="002979AC"/>
    <w:rsid w:val="002C3F40"/>
    <w:rsid w:val="00333579"/>
    <w:rsid w:val="003A79A4"/>
    <w:rsid w:val="00430EBB"/>
    <w:rsid w:val="00462299"/>
    <w:rsid w:val="00497D85"/>
    <w:rsid w:val="004E3E18"/>
    <w:rsid w:val="004E548E"/>
    <w:rsid w:val="005376ED"/>
    <w:rsid w:val="005967FD"/>
    <w:rsid w:val="005D4592"/>
    <w:rsid w:val="005E52E2"/>
    <w:rsid w:val="00654162"/>
    <w:rsid w:val="00667EAD"/>
    <w:rsid w:val="0069607E"/>
    <w:rsid w:val="006A30DD"/>
    <w:rsid w:val="006E67AB"/>
    <w:rsid w:val="00702729"/>
    <w:rsid w:val="00783D0D"/>
    <w:rsid w:val="00791EF7"/>
    <w:rsid w:val="007A1CCC"/>
    <w:rsid w:val="007B6663"/>
    <w:rsid w:val="007D08BC"/>
    <w:rsid w:val="007E5C7C"/>
    <w:rsid w:val="00840FE2"/>
    <w:rsid w:val="00893C9E"/>
    <w:rsid w:val="008A2407"/>
    <w:rsid w:val="008D422A"/>
    <w:rsid w:val="008E31AD"/>
    <w:rsid w:val="008F12CD"/>
    <w:rsid w:val="00904E3E"/>
    <w:rsid w:val="00934641"/>
    <w:rsid w:val="00961162"/>
    <w:rsid w:val="00990348"/>
    <w:rsid w:val="00A13E26"/>
    <w:rsid w:val="00A275BB"/>
    <w:rsid w:val="00A34F47"/>
    <w:rsid w:val="00A3731B"/>
    <w:rsid w:val="00A938F4"/>
    <w:rsid w:val="00AC3311"/>
    <w:rsid w:val="00B32F94"/>
    <w:rsid w:val="00B53A22"/>
    <w:rsid w:val="00B710CB"/>
    <w:rsid w:val="00B73123"/>
    <w:rsid w:val="00B931E7"/>
    <w:rsid w:val="00BC65D9"/>
    <w:rsid w:val="00C265AD"/>
    <w:rsid w:val="00C86546"/>
    <w:rsid w:val="00CA3346"/>
    <w:rsid w:val="00CC2888"/>
    <w:rsid w:val="00CC765A"/>
    <w:rsid w:val="00CE081B"/>
    <w:rsid w:val="00D86F5E"/>
    <w:rsid w:val="00E04E8B"/>
    <w:rsid w:val="00E539E1"/>
    <w:rsid w:val="00E85652"/>
    <w:rsid w:val="00F75630"/>
    <w:rsid w:val="00FE624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F93F856"/>
  <w14:defaultImageDpi w14:val="32767"/>
  <w15:chartTrackingRefBased/>
  <w15:docId w15:val="{310538BF-51A8-484C-B2E6-E61D1DC3E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pPr>
      <w:widowControl w:val="0"/>
      <w:suppressAutoHyphens/>
    </w:pPr>
    <w:rPr>
      <w:lang w:val="en-GB" w:eastAsia="en-GB"/>
    </w:rPr>
  </w:style>
  <w:style w:type="paragraph" w:styleId="Heading1">
    <w:name w:val="heading 1"/>
    <w:basedOn w:val="Heading"/>
    <w:next w:val="BodyText"/>
    <w:qFormat/>
    <w:pPr>
      <w:numPr>
        <w:numId w:val="1"/>
      </w:numPr>
      <w:outlineLvl w:val="0"/>
    </w:pPr>
  </w:style>
  <w:style w:type="paragraph" w:styleId="Heading2">
    <w:name w:val="heading 2"/>
    <w:basedOn w:val="Heading"/>
    <w:next w:val="BodyText"/>
    <w:qFormat/>
    <w:pPr>
      <w:numPr>
        <w:ilvl w:val="1"/>
        <w:numId w:val="1"/>
      </w:num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CVHeadingContactDetails">
    <w:name w:val="_ECV_HeadingContactDetails"/>
  </w:style>
  <w:style w:type="character" w:customStyle="1" w:styleId="ECVContactDetails">
    <w:name w:val="_ECV_ContactDetails"/>
    <w:basedOn w:val="ECVHeadingContactDetails"/>
  </w:style>
  <w:style w:type="character" w:customStyle="1" w:styleId="NumberingSymbols">
    <w:name w:val="Numbering Symbols"/>
  </w:style>
  <w:style w:type="character" w:customStyle="1" w:styleId="Bullets">
    <w:name w:val="Bullets"/>
  </w:style>
  <w:style w:type="character" w:styleId="LineNumber">
    <w:name w:val="line number"/>
  </w:style>
  <w:style w:type="character" w:styleId="Hyperlink">
    <w:name w:val="Hyperlink"/>
  </w:style>
  <w:style w:type="character" w:customStyle="1" w:styleId="ECVInternetLink">
    <w:name w:val="_ECV_InternetLink"/>
    <w:basedOn w:val="Hyperlink"/>
  </w:style>
  <w:style w:type="character" w:customStyle="1" w:styleId="ECVHeadingBusinessSector">
    <w:name w:val="_ECV_HeadingBusinessSector"/>
    <w:basedOn w:val="ECVHeadingContactDetails"/>
  </w:style>
  <w:style w:type="character" w:customStyle="1" w:styleId="EuropassTextSubscript">
    <w:name w:val="Europass_Text_Subscript"/>
    <w:rPr>
      <w:vertAlign w:val="subscript"/>
    </w:rPr>
  </w:style>
  <w:style w:type="character" w:customStyle="1" w:styleId="EuropassTextSuperscript">
    <w:name w:val="Europass_Text_Superscript"/>
    <w:rPr>
      <w:vertAlign w:val="superscript"/>
    </w:rPr>
  </w:style>
  <w:style w:type="character" w:customStyle="1" w:styleId="EuropassTextBold">
    <w:name w:val="Europass_Text_Bold"/>
  </w:style>
  <w:style w:type="character" w:customStyle="1" w:styleId="EuropassTextUnderline">
    <w:name w:val="Europass_Text_Underline"/>
  </w:style>
  <w:style w:type="character" w:customStyle="1" w:styleId="EuropassTextItalics">
    <w:name w:val="Europass_Text_Italics"/>
  </w:style>
  <w:style w:type="character" w:customStyle="1" w:styleId="EuropassTextBoldAndUnderline">
    <w:name w:val="Europass_Text_Bold_And_Underline"/>
  </w:style>
  <w:style w:type="character" w:customStyle="1" w:styleId="EuropassTextBoldAndItalics">
    <w:name w:val="Europass_Text_Bold_And_Italics"/>
  </w:style>
  <w:style w:type="character" w:customStyle="1" w:styleId="EuropassTextBoldAndUnderlineAndItalics">
    <w:name w:val="Europass_Text_Bold_And_Underline_And_Italics"/>
  </w:style>
  <w:style w:type="character" w:customStyle="1" w:styleId="EuropassTextUnderlineAndItalics">
    <w:name w:val="Europass_Text_Underline_And_Italics"/>
  </w:style>
  <w:style w:type="character" w:styleId="FollowedHyperlink">
    <w:name w:val="FollowedHyperlink"/>
  </w:style>
  <w:style w:type="paragraph" w:customStyle="1" w:styleId="Heading">
    <w:name w:val="Heading"/>
    <w:basedOn w:val="Normal"/>
    <w:next w:val="BodyText"/>
    <w:pPr>
      <w:keepNext/>
      <w:spacing w:before="240" w:after="120"/>
    </w:pPr>
  </w:style>
  <w:style w:type="paragraph" w:styleId="BodyText">
    <w:name w:val="Body Text"/>
    <w:basedOn w:val="Normal"/>
    <w:pPr>
      <w:spacing w:line="100" w:lineRule="atLeast"/>
    </w:pPr>
  </w:style>
  <w:style w:type="paragraph" w:styleId="List">
    <w:name w:val="List"/>
    <w:basedOn w:val="BodyText"/>
    <w:rPr>
      <w:rFonts w:cs="Mangal"/>
    </w:rPr>
  </w:style>
  <w:style w:type="paragraph" w:styleId="Caption">
    <w:name w:val="caption"/>
    <w:basedOn w:val="Normal"/>
    <w:qFormat/>
    <w:pPr>
      <w:suppressLineNumbers/>
      <w:spacing w:before="120" w:after="120"/>
    </w:pPr>
  </w:style>
  <w:style w:type="paragraph" w:customStyle="1" w:styleId="Index">
    <w:name w:val="Index"/>
    <w:basedOn w:val="Normal"/>
    <w:pPr>
      <w:suppressLineNumbers/>
    </w:pPr>
    <w:rPr>
      <w:rFonts w:cs="Mangal"/>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ECVLeftHeading">
    <w:name w:val="_ECV_LeftHeading"/>
    <w:basedOn w:val="TableContents"/>
    <w:pPr>
      <w:ind w:right="283"/>
      <w:jc w:val="right"/>
    </w:pPr>
  </w:style>
  <w:style w:type="paragraph" w:customStyle="1" w:styleId="ECVMiddleColumn">
    <w:name w:val="_ECV_MiddleColumn"/>
    <w:basedOn w:val="TableContents"/>
  </w:style>
  <w:style w:type="paragraph" w:customStyle="1" w:styleId="ECVRightColumn">
    <w:name w:val="_ECV_RightColumn"/>
    <w:basedOn w:val="TableContents"/>
    <w:pPr>
      <w:spacing w:before="62"/>
    </w:pPr>
  </w:style>
  <w:style w:type="paragraph" w:customStyle="1" w:styleId="ECVNameField">
    <w:name w:val="_ECV_NameField"/>
    <w:basedOn w:val="ECVRightColumn"/>
    <w:pPr>
      <w:spacing w:before="0" w:line="100" w:lineRule="atLeast"/>
    </w:pPr>
  </w:style>
  <w:style w:type="paragraph" w:customStyle="1" w:styleId="ECVRightHeading">
    <w:name w:val="_ECV_RightHeading"/>
    <w:basedOn w:val="ECVNameField"/>
    <w:pPr>
      <w:spacing w:before="62"/>
      <w:jc w:val="right"/>
    </w:pPr>
  </w:style>
  <w:style w:type="paragraph" w:customStyle="1" w:styleId="ECVFirstPageParagraph">
    <w:name w:val="_ECV_First_Page_Paragraph"/>
    <w:basedOn w:val="ECVRightHeading"/>
    <w:pPr>
      <w:tabs>
        <w:tab w:val="left" w:pos="2835"/>
        <w:tab w:val="right" w:pos="10205"/>
      </w:tabs>
      <w:spacing w:before="215"/>
      <w:jc w:val="left"/>
    </w:pPr>
  </w:style>
  <w:style w:type="paragraph" w:customStyle="1" w:styleId="ECVContactDetails0">
    <w:name w:val="_ECV_ContactDetails"/>
    <w:basedOn w:val="ECVNameField"/>
    <w:pPr>
      <w:textAlignment w:val="center"/>
    </w:pPr>
  </w:style>
  <w:style w:type="paragraph" w:customStyle="1" w:styleId="ECVNarrowSpacing">
    <w:name w:val="_ECV_NarrowSpacing"/>
    <w:basedOn w:val="ECVRightColumn"/>
  </w:style>
  <w:style w:type="paragraph" w:customStyle="1" w:styleId="ECVSectionSpacing">
    <w:name w:val="_ECV_SectionSpacing"/>
    <w:basedOn w:val="ECVRightColumn"/>
    <w:rPr>
      <w:color w:val="404040"/>
    </w:rPr>
  </w:style>
  <w:style w:type="paragraph" w:customStyle="1" w:styleId="Table">
    <w:name w:val="Table"/>
    <w:basedOn w:val="Caption"/>
  </w:style>
  <w:style w:type="paragraph" w:customStyle="1" w:styleId="ECVSubSectionHeading">
    <w:name w:val="_ECV_SubSectionHeading"/>
    <w:basedOn w:val="ECVRightColumn"/>
    <w:pPr>
      <w:spacing w:before="0" w:line="100" w:lineRule="atLeast"/>
    </w:pPr>
  </w:style>
  <w:style w:type="paragraph" w:customStyle="1" w:styleId="ECVOrganisationDetails">
    <w:name w:val="_ECV_OrganisationDetails"/>
    <w:basedOn w:val="ECVRightColumn"/>
    <w:pPr>
      <w:autoSpaceDE w:val="0"/>
      <w:spacing w:before="57" w:after="85" w:line="100" w:lineRule="atLeast"/>
    </w:pPr>
  </w:style>
  <w:style w:type="paragraph" w:customStyle="1" w:styleId="EuropassSectionDetails">
    <w:name w:val="Europass_SectionDetails"/>
    <w:basedOn w:val="Normal"/>
    <w:pPr>
      <w:suppressLineNumbers/>
      <w:autoSpaceDE w:val="0"/>
      <w:spacing w:before="28" w:after="56" w:line="100" w:lineRule="atLeast"/>
    </w:pPr>
  </w:style>
  <w:style w:type="paragraph" w:customStyle="1" w:styleId="ECVPersonalStatement">
    <w:name w:val="_ECV_PersonalStatement"/>
    <w:basedOn w:val="ECVRightColumn"/>
    <w:pPr>
      <w:spacing w:before="0" w:after="56" w:line="100" w:lineRule="atLeast"/>
    </w:pPr>
  </w:style>
  <w:style w:type="paragraph" w:customStyle="1" w:styleId="ECVSectionBullet">
    <w:name w:val="_ECV_SectionBullet"/>
    <w:basedOn w:val="EuropassSectionDetails"/>
    <w:pPr>
      <w:spacing w:before="0" w:after="0"/>
    </w:pPr>
    <w:rPr>
      <w:color w:val="3F3A38"/>
    </w:rPr>
  </w:style>
  <w:style w:type="paragraph" w:customStyle="1" w:styleId="CVMajor">
    <w:name w:val="CV Major"/>
    <w:basedOn w:val="Normal"/>
    <w:pPr>
      <w:ind w:left="113" w:right="113"/>
    </w:pPr>
  </w:style>
  <w:style w:type="paragraph" w:customStyle="1" w:styleId="ECVDate">
    <w:name w:val="_ECV_Date"/>
    <w:basedOn w:val="ECVLeftHeading"/>
    <w:pPr>
      <w:spacing w:before="28" w:line="100" w:lineRule="atLeast"/>
      <w:textAlignment w:val="top"/>
    </w:pPr>
    <w:rPr>
      <w:color w:val="0E4194"/>
    </w:rPr>
  </w:style>
  <w:style w:type="paragraph" w:customStyle="1" w:styleId="CVHeading3">
    <w:name w:val="CV Heading 3"/>
    <w:basedOn w:val="Normal"/>
    <w:next w:val="Normal"/>
    <w:pPr>
      <w:ind w:left="113" w:right="113"/>
      <w:jc w:val="right"/>
      <w:textAlignment w:val="center"/>
    </w:pPr>
  </w:style>
  <w:style w:type="paragraph" w:customStyle="1" w:styleId="ECVHeadingLine">
    <w:name w:val="_ECV_HeadingLine"/>
    <w:basedOn w:val="ECVSubSectionHeading"/>
    <w:rPr>
      <w:color w:val="17ACE6"/>
    </w:rPr>
  </w:style>
  <w:style w:type="paragraph" w:styleId="Header">
    <w:name w:val="header"/>
    <w:basedOn w:val="Normal"/>
    <w:pPr>
      <w:suppressLineNumbers/>
      <w:tabs>
        <w:tab w:val="center" w:pos="5103"/>
        <w:tab w:val="right" w:pos="10206"/>
      </w:tabs>
    </w:pPr>
  </w:style>
  <w:style w:type="paragraph" w:customStyle="1" w:styleId="ECVAttachment">
    <w:name w:val="_ECV_Attachment"/>
    <w:basedOn w:val="EuropassSectionDetails"/>
    <w:pPr>
      <w:jc w:val="right"/>
    </w:pPr>
    <w:rPr>
      <w:u w:val="single"/>
    </w:rPr>
  </w:style>
  <w:style w:type="paragraph" w:customStyle="1" w:styleId="ECVHeaderFirstPage">
    <w:name w:val="_ECV_HeaderFirstPage"/>
    <w:basedOn w:val="Header"/>
    <w:pPr>
      <w:tabs>
        <w:tab w:val="center" w:pos="2835"/>
      </w:tabs>
      <w:spacing w:line="100" w:lineRule="atLeast"/>
    </w:pPr>
  </w:style>
  <w:style w:type="paragraph" w:customStyle="1" w:styleId="ECVHeaderOtherPage">
    <w:name w:val="_ECV_HeaderOtherPage"/>
    <w:basedOn w:val="ECVHeaderFirstPage"/>
  </w:style>
  <w:style w:type="paragraph" w:customStyle="1" w:styleId="ECVLeftDetails">
    <w:name w:val="_ECV_LeftDetails"/>
    <w:basedOn w:val="ECVLeftHeading"/>
    <w:pPr>
      <w:spacing w:before="23"/>
    </w:pPr>
    <w:rPr>
      <w:color w:val="0E4194"/>
    </w:rPr>
  </w:style>
  <w:style w:type="paragraph" w:styleId="Footer">
    <w:name w:val="footer"/>
    <w:basedOn w:val="Normal"/>
    <w:pPr>
      <w:suppressLineNumbers/>
      <w:tabs>
        <w:tab w:val="right" w:pos="2835"/>
        <w:tab w:val="left" w:pos="10205"/>
      </w:tabs>
    </w:pPr>
  </w:style>
  <w:style w:type="paragraph" w:customStyle="1" w:styleId="ECVLanguageHeading">
    <w:name w:val="_ECV_LanguageHeading"/>
    <w:basedOn w:val="ECVRightColumn"/>
    <w:pPr>
      <w:spacing w:before="0"/>
      <w:jc w:val="center"/>
    </w:pPr>
  </w:style>
  <w:style w:type="paragraph" w:customStyle="1" w:styleId="ECVLanguageSubHeading">
    <w:name w:val="_ECV_LanguageSubHeading"/>
    <w:basedOn w:val="ECVLanguageHeading"/>
    <w:pPr>
      <w:spacing w:line="100" w:lineRule="atLeast"/>
    </w:pPr>
    <w:rPr>
      <w:sz w:val="16"/>
    </w:rPr>
  </w:style>
  <w:style w:type="paragraph" w:customStyle="1" w:styleId="ECVLanguageLevel">
    <w:name w:val="_ECV_LanguageLevel"/>
    <w:basedOn w:val="EuropassSectionDetails"/>
    <w:pPr>
      <w:jc w:val="center"/>
      <w:textAlignment w:val="center"/>
    </w:pPr>
    <w:rPr>
      <w:caps/>
    </w:rPr>
  </w:style>
  <w:style w:type="paragraph" w:customStyle="1" w:styleId="ECVLanguageCertificate">
    <w:name w:val="_ECV_LanguageCertificate"/>
    <w:basedOn w:val="ECVRightColumn"/>
    <w:pPr>
      <w:spacing w:before="0" w:line="100" w:lineRule="atLeast"/>
      <w:ind w:right="283"/>
      <w:jc w:val="center"/>
    </w:pPr>
  </w:style>
  <w:style w:type="paragraph" w:customStyle="1" w:styleId="ECVLanguageExplanation">
    <w:name w:val="_ECV_LanguageExplanation"/>
    <w:basedOn w:val="Normal"/>
    <w:pPr>
      <w:autoSpaceDE w:val="0"/>
      <w:spacing w:line="100" w:lineRule="atLeast"/>
    </w:pPr>
  </w:style>
  <w:style w:type="paragraph" w:customStyle="1" w:styleId="ECVLinks">
    <w:name w:val="_ECV_Links"/>
    <w:basedOn w:val="ECVContactDetails0"/>
    <w:rPr>
      <w:u w:val="single"/>
    </w:rPr>
  </w:style>
  <w:style w:type="paragraph" w:customStyle="1" w:styleId="ECVText">
    <w:name w:val="_ECV_Text"/>
    <w:basedOn w:val="BodyText"/>
    <w:rPr>
      <w:sz w:val="16"/>
    </w:rPr>
  </w:style>
  <w:style w:type="paragraph" w:customStyle="1" w:styleId="ECVBusinessSector">
    <w:name w:val="_ECV_BusinessSector"/>
    <w:basedOn w:val="ECVOrganisationDetails"/>
    <w:pPr>
      <w:spacing w:before="113" w:after="0"/>
    </w:pPr>
  </w:style>
  <w:style w:type="paragraph" w:customStyle="1" w:styleId="ECVLanguageName">
    <w:name w:val="_ECV_LanguageName"/>
    <w:basedOn w:val="ECVLanguageCertificate"/>
    <w:pPr>
      <w:jc w:val="right"/>
    </w:pPr>
    <w:rPr>
      <w:sz w:val="18"/>
    </w:rPr>
  </w:style>
  <w:style w:type="paragraph" w:customStyle="1" w:styleId="ECVPersonalInfoHeading">
    <w:name w:val="_ECV_PersonalInfoHeading"/>
    <w:basedOn w:val="ECVLeftHeading"/>
    <w:pPr>
      <w:spacing w:before="57"/>
    </w:pPr>
  </w:style>
  <w:style w:type="paragraph" w:customStyle="1" w:styleId="ECVOccupationalFieldHeadingPersonal">
    <w:name w:val="_ECV_OccupationalFieldHeadingPersonal"/>
    <w:basedOn w:val="ECVLeftHeading"/>
    <w:pPr>
      <w:spacing w:before="23"/>
    </w:pPr>
    <w:rPr>
      <w:color w:val="0E4194"/>
    </w:rPr>
  </w:style>
  <w:style w:type="paragraph" w:customStyle="1" w:styleId="ECVOccupationalFieldHeading">
    <w:name w:val="_ECV_OccupationalFieldHeading"/>
    <w:basedOn w:val="ECVLeftHeading"/>
    <w:pPr>
      <w:spacing w:before="57"/>
    </w:pPr>
    <w:rPr>
      <w:color w:val="0E4194"/>
    </w:rPr>
  </w:style>
  <w:style w:type="paragraph" w:customStyle="1" w:styleId="ECVGenderRow">
    <w:name w:val="_ECV_GenderRow"/>
    <w:basedOn w:val="Normal"/>
    <w:pPr>
      <w:spacing w:before="85"/>
    </w:pPr>
  </w:style>
  <w:style w:type="paragraph" w:customStyle="1" w:styleId="ECVNextPagesParagraph">
    <w:name w:val="_ECV_Next_Pages_Paragraph"/>
    <w:basedOn w:val="ECVFirstPageParagraph"/>
    <w:pPr>
      <w:tabs>
        <w:tab w:val="clear" w:pos="2835"/>
        <w:tab w:val="clear" w:pos="10205"/>
        <w:tab w:val="left" w:pos="2807"/>
        <w:tab w:val="right" w:pos="10350"/>
      </w:tabs>
      <w:spacing w:before="153"/>
      <w:jc w:val="right"/>
    </w:pPr>
  </w:style>
  <w:style w:type="paragraph" w:customStyle="1" w:styleId="ECVBusinessSctionRow">
    <w:name w:val="_ECV_BusinessSctionRow"/>
    <w:basedOn w:val="Normal"/>
  </w:style>
  <w:style w:type="paragraph" w:customStyle="1" w:styleId="ECVBusinessSectorRow">
    <w:name w:val="_ECV_BusinessSectorRow"/>
    <w:basedOn w:val="Normal"/>
    <w:rPr>
      <w:color w:val="3F3A38"/>
    </w:rPr>
  </w:style>
  <w:style w:type="paragraph" w:customStyle="1" w:styleId="ECVBlueBox">
    <w:name w:val="_ECV_BlueBox"/>
    <w:basedOn w:val="ECVNarrowSpacing"/>
    <w:pPr>
      <w:spacing w:before="0"/>
      <w:jc w:val="right"/>
      <w:textAlignment w:val="bottom"/>
    </w:pPr>
  </w:style>
  <w:style w:type="paragraph" w:customStyle="1" w:styleId="ESPPagesParagraph">
    <w:name w:val="_ESP_Pages_Paragraph"/>
    <w:basedOn w:val="ECVNextPagesParagraph"/>
  </w:style>
  <w:style w:type="paragraph" w:customStyle="1" w:styleId="ESPText">
    <w:name w:val="_ESP_Text"/>
    <w:basedOn w:val="ECVText"/>
  </w:style>
  <w:style w:type="paragraph" w:customStyle="1" w:styleId="ESPHeading">
    <w:name w:val="_ESP_Heading"/>
    <w:basedOn w:val="ESPText"/>
  </w:style>
  <w:style w:type="paragraph" w:customStyle="1" w:styleId="FooterLeft">
    <w:name w:val="Footer Left"/>
    <w:basedOn w:val="Normal"/>
    <w:pPr>
      <w:suppressLineNumbers/>
      <w:tabs>
        <w:tab w:val="center" w:pos="5188"/>
        <w:tab w:val="right" w:pos="10376"/>
      </w:tabs>
    </w:pPr>
  </w:style>
  <w:style w:type="paragraph" w:customStyle="1" w:styleId="FooterRight">
    <w:name w:val="Footer Right"/>
    <w:basedOn w:val="Normal"/>
    <w:pPr>
      <w:suppressLineNumbers/>
      <w:tabs>
        <w:tab w:val="center" w:pos="5188"/>
        <w:tab w:val="right" w:pos="10376"/>
      </w:tabs>
    </w:pPr>
  </w:style>
  <w:style w:type="paragraph" w:customStyle="1" w:styleId="ECVRelatedDocumentRow">
    <w:name w:val="_ECV_RelatedDocumentRow"/>
    <w:basedOn w:val="ECVBusinessSectorRow"/>
  </w:style>
  <w:style w:type="paragraph" w:customStyle="1" w:styleId="europass5fnumbered5flist">
    <w:name w:val="europass_5f_numbered_5f_list"/>
    <w:basedOn w:val="EuropassSectionDetails"/>
  </w:style>
  <w:style w:type="paragraph" w:customStyle="1" w:styleId="europass5fbulleted5flist">
    <w:name w:val="europass_5f_bulleted_5f_list"/>
    <w:basedOn w:val="EuropassSectionDetails"/>
  </w:style>
  <w:style w:type="paragraph" w:customStyle="1" w:styleId="europassparagraphindented">
    <w:name w:val="europass_paragraph_indented"/>
    <w:basedOn w:val="EuropassSectionDetails"/>
    <w:pPr>
      <w:ind w:left="567"/>
    </w:pPr>
  </w:style>
  <w:style w:type="paragraph" w:customStyle="1" w:styleId="europassparagraphindent1">
    <w:name w:val="europass_paragraph_indent1"/>
    <w:basedOn w:val="EuropassSectionDetails"/>
    <w:pPr>
      <w:ind w:left="567"/>
    </w:pPr>
  </w:style>
  <w:style w:type="paragraph" w:customStyle="1" w:styleId="europassparagraphindent2">
    <w:name w:val="europass_paragraph_indent2"/>
    <w:basedOn w:val="EuropassSectionDetails"/>
    <w:pPr>
      <w:ind w:left="1134"/>
    </w:pPr>
  </w:style>
  <w:style w:type="paragraph" w:customStyle="1" w:styleId="europassparagraphindent3">
    <w:name w:val="europass_paragraph_indent3"/>
    <w:basedOn w:val="EuropassSectionDetails"/>
    <w:pPr>
      <w:ind w:left="1701"/>
    </w:pPr>
  </w:style>
  <w:style w:type="paragraph" w:customStyle="1" w:styleId="europassparagraphalignjustify">
    <w:name w:val="europass_paragraph_align_justify"/>
    <w:basedOn w:val="EuropassSectionDetails"/>
    <w:pPr>
      <w:jc w:val="both"/>
    </w:pPr>
  </w:style>
  <w:style w:type="paragraph" w:customStyle="1" w:styleId="europassparagraphindent1justify">
    <w:name w:val="europass_paragraph_indent1_justify"/>
    <w:basedOn w:val="EuropassSectionDetails"/>
    <w:pPr>
      <w:ind w:left="567"/>
      <w:jc w:val="both"/>
    </w:pPr>
  </w:style>
  <w:style w:type="paragraph" w:customStyle="1" w:styleId="europassparagraphindent2justify">
    <w:name w:val="europass_paragraph_indent2_justify"/>
    <w:basedOn w:val="EuropassSectionDetails"/>
    <w:pPr>
      <w:ind w:left="1134"/>
      <w:jc w:val="both"/>
    </w:pPr>
  </w:style>
  <w:style w:type="paragraph" w:customStyle="1" w:styleId="europassparagraphindent3justify">
    <w:name w:val="europass_paragraph_indent3_justify"/>
    <w:basedOn w:val="EuropassSectionDetails"/>
    <w:pPr>
      <w:ind w:left="1701"/>
      <w:jc w:val="both"/>
    </w:pPr>
  </w:style>
  <w:style w:type="paragraph" w:styleId="BalloonText">
    <w:name w:val="Balloon Text"/>
    <w:basedOn w:val="Normal"/>
    <w:link w:val="BalloonTextChar"/>
    <w:uiPriority w:val="99"/>
    <w:semiHidden/>
    <w:unhideWhenUsed/>
    <w:rsid w:val="00791EF7"/>
    <w:rPr>
      <w:sz w:val="18"/>
      <w:szCs w:val="18"/>
    </w:rPr>
  </w:style>
  <w:style w:type="character" w:customStyle="1" w:styleId="BalloonTextChar">
    <w:name w:val="Balloon Text Char"/>
    <w:basedOn w:val="DefaultParagraphFont"/>
    <w:link w:val="BalloonText"/>
    <w:uiPriority w:val="99"/>
    <w:semiHidden/>
    <w:rsid w:val="00791EF7"/>
    <w:rPr>
      <w:sz w:val="18"/>
      <w:szCs w:val="18"/>
      <w:lang w:val="en-GB" w:eastAsia="en-GB"/>
    </w:rPr>
  </w:style>
  <w:style w:type="character" w:customStyle="1" w:styleId="UnresolvedMention1">
    <w:name w:val="Unresolved Mention1"/>
    <w:basedOn w:val="DefaultParagraphFont"/>
    <w:uiPriority w:val="99"/>
    <w:semiHidden/>
    <w:unhideWhenUsed/>
    <w:rsid w:val="00CC765A"/>
    <w:rPr>
      <w:color w:val="808080"/>
      <w:shd w:val="clear" w:color="auto" w:fill="E6E6E6"/>
    </w:rPr>
  </w:style>
  <w:style w:type="paragraph" w:styleId="ListParagraph">
    <w:name w:val="List Paragraph"/>
    <w:basedOn w:val="Normal"/>
    <w:uiPriority w:val="34"/>
    <w:qFormat/>
    <w:rsid w:val="002979AC"/>
    <w:pPr>
      <w:widowControl/>
      <w:suppressAutoHyphens w:val="0"/>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701786">
      <w:bodyDiv w:val="1"/>
      <w:marLeft w:val="0"/>
      <w:marRight w:val="0"/>
      <w:marTop w:val="0"/>
      <w:marBottom w:val="0"/>
      <w:divBdr>
        <w:top w:val="none" w:sz="0" w:space="0" w:color="auto"/>
        <w:left w:val="none" w:sz="0" w:space="0" w:color="auto"/>
        <w:bottom w:val="none" w:sz="0" w:space="0" w:color="auto"/>
        <w:right w:val="none" w:sz="0" w:space="0" w:color="auto"/>
      </w:divBdr>
      <w:divsChild>
        <w:div w:id="971012913">
          <w:marLeft w:val="0"/>
          <w:marRight w:val="0"/>
          <w:marTop w:val="0"/>
          <w:marBottom w:val="0"/>
          <w:divBdr>
            <w:top w:val="none" w:sz="0" w:space="0" w:color="auto"/>
            <w:left w:val="none" w:sz="0" w:space="0" w:color="auto"/>
            <w:bottom w:val="none" w:sz="0" w:space="0" w:color="auto"/>
            <w:right w:val="none" w:sz="0" w:space="0" w:color="auto"/>
          </w:divBdr>
        </w:div>
      </w:divsChild>
    </w:div>
    <w:div w:id="1761179118">
      <w:bodyDiv w:val="1"/>
      <w:marLeft w:val="0"/>
      <w:marRight w:val="0"/>
      <w:marTop w:val="0"/>
      <w:marBottom w:val="0"/>
      <w:divBdr>
        <w:top w:val="none" w:sz="0" w:space="0" w:color="auto"/>
        <w:left w:val="none" w:sz="0" w:space="0" w:color="auto"/>
        <w:bottom w:val="none" w:sz="0" w:space="0" w:color="auto"/>
        <w:right w:val="none" w:sz="0" w:space="0" w:color="auto"/>
      </w:divBdr>
      <w:divsChild>
        <w:div w:id="140086186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europass.cedefop.europa.eu/en/resources/european-language-levels-cefr"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amo2016.univ-reunion.fr/"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pubs.acs.org/doi/abs/10.1021/cr040659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1630</Words>
  <Characters>9295</Characters>
  <Application>Microsoft Office Word</Application>
  <DocSecurity>0</DocSecurity>
  <Lines>77</Lines>
  <Paragraphs>21</Paragraphs>
  <ScaleCrop>false</ScaleCrop>
  <HeadingPairs>
    <vt:vector size="4" baseType="variant">
      <vt:variant>
        <vt:lpstr>Title</vt:lpstr>
      </vt:variant>
      <vt:variant>
        <vt:i4>1</vt:i4>
      </vt:variant>
      <vt:variant>
        <vt:lpstr>Títol</vt:lpstr>
      </vt:variant>
      <vt:variant>
        <vt:i4>1</vt:i4>
      </vt:variant>
    </vt:vector>
  </HeadingPairs>
  <TitlesOfParts>
    <vt:vector size="2" baseType="lpstr">
      <vt:lpstr>CV-Europass-20160721-Codagnone-EN.doc</vt:lpstr>
      <vt:lpstr>CV-Europass-20160721-Codagnone-EN.doc</vt:lpstr>
    </vt:vector>
  </TitlesOfParts>
  <Company>UOC</Company>
  <LinksUpToDate>false</LinksUpToDate>
  <CharactersWithSpaces>10904</CharactersWithSpaces>
  <SharedDoc>false</SharedDoc>
  <HLinks>
    <vt:vector size="36" baseType="variant">
      <vt:variant>
        <vt:i4>2883650</vt:i4>
      </vt:variant>
      <vt:variant>
        <vt:i4>15</vt:i4>
      </vt:variant>
      <vt:variant>
        <vt:i4>0</vt:i4>
      </vt:variant>
      <vt:variant>
        <vt:i4>5</vt:i4>
      </vt:variant>
      <vt:variant>
        <vt:lpwstr>http://ec.europa.eu/clima/policies/transport/vehicles/labelling/docs/report_car_labelling_en.pdf</vt:lpwstr>
      </vt:variant>
      <vt:variant>
        <vt:lpwstr/>
      </vt:variant>
      <vt:variant>
        <vt:i4>1572985</vt:i4>
      </vt:variant>
      <vt:variant>
        <vt:i4>12</vt:i4>
      </vt:variant>
      <vt:variant>
        <vt:i4>0</vt:i4>
      </vt:variant>
      <vt:variant>
        <vt:i4>5</vt:i4>
      </vt:variant>
      <vt:variant>
        <vt:lpwstr>http://ec.europa.eu/internal_market/gambling/docs/initiatives/140714-study-on-online-</vt:lpwstr>
      </vt:variant>
      <vt:variant>
        <vt:lpwstr/>
      </vt:variant>
      <vt:variant>
        <vt:i4>2621537</vt:i4>
      </vt:variant>
      <vt:variant>
        <vt:i4>9</vt:i4>
      </vt:variant>
      <vt:variant>
        <vt:i4>0</vt:i4>
      </vt:variant>
      <vt:variant>
        <vt:i4>5</vt:i4>
      </vt:variant>
      <vt:variant>
        <vt:lpwstr>http://www.behavioraleconomics.com/</vt:lpwstr>
      </vt:variant>
      <vt:variant>
        <vt:lpwstr/>
      </vt:variant>
      <vt:variant>
        <vt:i4>3735659</vt:i4>
      </vt:variant>
      <vt:variant>
        <vt:i4>6</vt:i4>
      </vt:variant>
      <vt:variant>
        <vt:i4>0</vt:i4>
      </vt:variant>
      <vt:variant>
        <vt:i4>5</vt:i4>
      </vt:variant>
      <vt:variant>
        <vt:lpwstr>http://www.ehealthnews.eu/images/stories/pdf/phs2020-book-</vt:lpwstr>
      </vt:variant>
      <vt:variant>
        <vt:lpwstr/>
      </vt:variant>
      <vt:variant>
        <vt:i4>1441835</vt:i4>
      </vt:variant>
      <vt:variant>
        <vt:i4>3</vt:i4>
      </vt:variant>
      <vt:variant>
        <vt:i4>0</vt:i4>
      </vt:variant>
      <vt:variant>
        <vt:i4>5</vt:i4>
      </vt:variant>
      <vt:variant>
        <vt:lpwstr>http://papers.ssrn.com/sol3/papers.cfm?abstract_id=2755763</vt:lpwstr>
      </vt:variant>
      <vt:variant>
        <vt:lpwstr/>
      </vt:variant>
      <vt:variant>
        <vt:i4>917518</vt:i4>
      </vt:variant>
      <vt:variant>
        <vt:i4>0</vt:i4>
      </vt:variant>
      <vt:variant>
        <vt:i4>0</vt:i4>
      </vt:variant>
      <vt:variant>
        <vt:i4>5</vt:i4>
      </vt:variant>
      <vt:variant>
        <vt:lpwstr>http://europass.cedefop.europa.eu/en/resources/european-language-levels-cefr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CV-Europass-20160721-Codagnone-EN.doc</dc:title>
  <dc:subject>Cristiano Codagnone Europass CV</dc:subject>
  <dc:creator>Simone Vitiello</dc:creator>
  <cp:keywords>Europass, CV, Cedefop</cp:keywords>
  <dc:description>Cristiano Codagnone Europass CV</dc:description>
  <cp:lastModifiedBy>Andrea</cp:lastModifiedBy>
  <cp:revision>2</cp:revision>
  <cp:lastPrinted>2021-03-09T09:02:00Z</cp:lastPrinted>
  <dcterms:created xsi:type="dcterms:W3CDTF">2021-10-13T15:01:00Z</dcterms:created>
  <dcterms:modified xsi:type="dcterms:W3CDTF">2021-10-13T15:01:00Z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Cristiano Codagnone</vt:lpwstr>
  </property>
  <property fmtid="{D5CDD505-2E9C-101B-9397-08002B2CF9AE}" pid="3" name="Owner">
    <vt:lpwstr>Cristiano Codagnone</vt:lpwstr>
  </property>
</Properties>
</file>